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spacing w:before="10"/>
        <w:rPr>
          <w:b/>
          <w:sz w:val="20"/>
        </w:rPr>
      </w:pPr>
    </w:p>
    <w:p w:rsidR="002A5B4A" w:rsidRDefault="00D712FD">
      <w:pPr>
        <w:spacing w:before="1"/>
        <w:ind w:left="2383" w:right="2735"/>
        <w:jc w:val="center"/>
        <w:rPr>
          <w:b/>
          <w:sz w:val="24"/>
        </w:rPr>
      </w:pPr>
      <w:r>
        <w:rPr>
          <w:b/>
          <w:sz w:val="24"/>
        </w:rPr>
        <w:t xml:space="preserve">Ato Normativo CRN-2 nº </w:t>
      </w:r>
      <w:r w:rsidR="003306D4">
        <w:rPr>
          <w:b/>
          <w:sz w:val="24"/>
        </w:rPr>
        <w:t>14</w:t>
      </w:r>
      <w:r>
        <w:rPr>
          <w:b/>
          <w:sz w:val="24"/>
        </w:rPr>
        <w:t>/2021</w:t>
      </w: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spacing w:before="10"/>
        <w:rPr>
          <w:b/>
          <w:sz w:val="20"/>
        </w:rPr>
      </w:pPr>
    </w:p>
    <w:p w:rsidR="002A5B4A" w:rsidRDefault="00D712FD">
      <w:pPr>
        <w:spacing w:line="276" w:lineRule="auto"/>
        <w:ind w:left="4440" w:right="113"/>
        <w:jc w:val="both"/>
        <w:rPr>
          <w:b/>
          <w:sz w:val="24"/>
        </w:rPr>
      </w:pPr>
      <w:r>
        <w:rPr>
          <w:b/>
          <w:sz w:val="24"/>
        </w:rPr>
        <w:t>Institui Câmaras Técnicas no âmbito do Conselho Regional de Nutricionistas – 2ª Região (CRN-2), dispõe sobre suas atribuições e funcionamento e dá outras providências.</w:t>
      </w:r>
    </w:p>
    <w:p w:rsidR="002A5B4A" w:rsidRDefault="002A5B4A">
      <w:pPr>
        <w:pStyle w:val="Corpodetexto"/>
        <w:rPr>
          <w:b/>
          <w:sz w:val="26"/>
        </w:rPr>
      </w:pPr>
    </w:p>
    <w:p w:rsidR="002A5B4A" w:rsidRDefault="002A5B4A">
      <w:pPr>
        <w:pStyle w:val="Corpodetexto"/>
        <w:rPr>
          <w:b/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14" w:firstLine="1845"/>
        <w:jc w:val="both"/>
      </w:pPr>
      <w:r>
        <w:t>O Conselho Regional de Nutricionistas – 2ª Região (CRN-2), no exercício das competências previstas na Lei nº 6.583, de 20 de outubro de 1978, e nº 8.234, de 17 de setembro de 1991, no Decreto nº 84.444, de 30 de</w:t>
      </w:r>
    </w:p>
    <w:p w:rsidR="002A5B4A" w:rsidRDefault="00D712FD">
      <w:pPr>
        <w:pStyle w:val="Corpodetexto"/>
        <w:ind w:left="315"/>
        <w:jc w:val="both"/>
      </w:pPr>
      <w:r>
        <w:t>janeiro de 1980;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spacing w:before="10"/>
        <w:rPr>
          <w:sz w:val="20"/>
        </w:rPr>
      </w:pPr>
    </w:p>
    <w:p w:rsidR="002A5B4A" w:rsidRDefault="00D712FD">
      <w:pPr>
        <w:pStyle w:val="Corpodetexto"/>
        <w:spacing w:before="1"/>
        <w:ind w:left="2160"/>
      </w:pPr>
      <w:r>
        <w:t>RESOLVE: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spacing w:before="10"/>
        <w:rPr>
          <w:sz w:val="20"/>
        </w:rPr>
      </w:pPr>
    </w:p>
    <w:p w:rsidR="002A5B4A" w:rsidRDefault="00D712FD">
      <w:pPr>
        <w:pStyle w:val="Corpodetexto"/>
        <w:spacing w:line="276" w:lineRule="auto"/>
        <w:ind w:left="315" w:right="115" w:firstLine="1845"/>
        <w:jc w:val="both"/>
      </w:pPr>
      <w:r>
        <w:rPr>
          <w:b/>
        </w:rPr>
        <w:t xml:space="preserve">Art. 1º </w:t>
      </w:r>
      <w:r>
        <w:t>Ficam instituídas, no âmbito do Conselho Regional de Nutricionistas – 2ª Região, com vistas à atuação como órgãos coletivos de competência técnica, Câmaras Técnicas.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13" w:firstLine="1845"/>
        <w:jc w:val="both"/>
      </w:pPr>
      <w:r>
        <w:rPr>
          <w:b/>
        </w:rPr>
        <w:t xml:space="preserve">Art. 2º </w:t>
      </w:r>
      <w:r>
        <w:t xml:space="preserve">O Conselho Regional de Nutricionistas – 2ª Região, contará com 5 (cinco) Câmaras Técnicas designadas pelo Plenário do CRN-2, estabelecidas com o objetivo de exercer, em caráter permanente, </w:t>
      </w:r>
      <w:r>
        <w:rPr>
          <w:spacing w:val="-6"/>
        </w:rPr>
        <w:t xml:space="preserve">as </w:t>
      </w:r>
      <w:r>
        <w:t xml:space="preserve">atribuições referidas no art. 3º desta Portaria, sendo constituídas da </w:t>
      </w:r>
      <w:r>
        <w:rPr>
          <w:spacing w:val="-3"/>
        </w:rPr>
        <w:t xml:space="preserve">seguinte </w:t>
      </w:r>
      <w:r>
        <w:t>forma: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49"/>
          <w:tab w:val="left" w:pos="3550"/>
        </w:tabs>
        <w:ind w:right="0"/>
        <w:rPr>
          <w:sz w:val="24"/>
        </w:rPr>
      </w:pPr>
      <w:r>
        <w:rPr>
          <w:sz w:val="24"/>
        </w:rPr>
        <w:t>Câmara Técnica de Formação</w:t>
      </w:r>
      <w:r>
        <w:rPr>
          <w:spacing w:val="-5"/>
          <w:sz w:val="24"/>
        </w:rPr>
        <w:t xml:space="preserve"> </w:t>
      </w:r>
      <w:r>
        <w:rPr>
          <w:sz w:val="24"/>
        </w:rPr>
        <w:t>Profissional</w:t>
      </w:r>
    </w:p>
    <w:p w:rsidR="002A5B4A" w:rsidRDefault="002A5B4A">
      <w:pPr>
        <w:pStyle w:val="Corpodetexto"/>
        <w:spacing w:before="6"/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14"/>
          <w:tab w:val="left" w:pos="3515"/>
        </w:tabs>
        <w:spacing w:before="0"/>
        <w:ind w:left="3514" w:right="0" w:hanging="620"/>
        <w:rPr>
          <w:sz w:val="24"/>
        </w:rPr>
      </w:pPr>
      <w:r>
        <w:rPr>
          <w:sz w:val="24"/>
        </w:rPr>
        <w:t>Câmara Técnica de Exercício</w:t>
      </w:r>
      <w:r>
        <w:rPr>
          <w:spacing w:val="-5"/>
          <w:sz w:val="24"/>
        </w:rPr>
        <w:t xml:space="preserve"> </w:t>
      </w:r>
      <w:r>
        <w:rPr>
          <w:sz w:val="24"/>
        </w:rPr>
        <w:t>Profissional</w:t>
      </w:r>
    </w:p>
    <w:p w:rsidR="002A5B4A" w:rsidRDefault="002A5B4A">
      <w:pPr>
        <w:pStyle w:val="Corpodetexto"/>
        <w:spacing w:before="5"/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11"/>
          <w:tab w:val="left" w:pos="3512"/>
        </w:tabs>
        <w:spacing w:before="0"/>
        <w:ind w:left="3511" w:right="0" w:hanging="617"/>
        <w:rPr>
          <w:sz w:val="24"/>
        </w:rPr>
      </w:pPr>
      <w:r>
        <w:rPr>
          <w:sz w:val="24"/>
        </w:rPr>
        <w:t>Câmara Técnica de</w:t>
      </w:r>
      <w:r>
        <w:rPr>
          <w:spacing w:val="-5"/>
          <w:sz w:val="24"/>
        </w:rPr>
        <w:t xml:space="preserve"> </w:t>
      </w:r>
      <w:r>
        <w:rPr>
          <w:sz w:val="24"/>
        </w:rPr>
        <w:t>Legislações</w:t>
      </w:r>
    </w:p>
    <w:p w:rsidR="002A5B4A" w:rsidRDefault="002A5B4A">
      <w:pPr>
        <w:rPr>
          <w:sz w:val="24"/>
        </w:rPr>
        <w:sectPr w:rsidR="002A5B4A">
          <w:headerReference w:type="default" r:id="rId7"/>
          <w:type w:val="continuous"/>
          <w:pgSz w:w="11920" w:h="16840"/>
          <w:pgMar w:top="1600" w:right="1340" w:bottom="280" w:left="1680" w:header="720" w:footer="720" w:gutter="0"/>
          <w:cols w:space="720"/>
        </w:sectPr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516"/>
          <w:tab w:val="left" w:pos="3517"/>
        </w:tabs>
        <w:spacing w:before="80"/>
        <w:ind w:left="3516" w:right="0" w:hanging="622"/>
        <w:rPr>
          <w:sz w:val="24"/>
        </w:rPr>
      </w:pPr>
      <w:r>
        <w:rPr>
          <w:sz w:val="24"/>
        </w:rPr>
        <w:lastRenderedPageBreak/>
        <w:t>Câmara Técnica de Políticas</w:t>
      </w:r>
      <w:r>
        <w:rPr>
          <w:spacing w:val="-5"/>
          <w:sz w:val="24"/>
        </w:rPr>
        <w:t xml:space="preserve"> </w:t>
      </w:r>
      <w:r>
        <w:rPr>
          <w:sz w:val="24"/>
        </w:rPr>
        <w:t>Públicas</w:t>
      </w:r>
    </w:p>
    <w:p w:rsidR="002A5B4A" w:rsidRDefault="002A5B4A">
      <w:pPr>
        <w:pStyle w:val="Corpodetexto"/>
        <w:spacing w:before="5"/>
      </w:pPr>
    </w:p>
    <w:p w:rsidR="002A5B4A" w:rsidRDefault="00D712FD">
      <w:pPr>
        <w:pStyle w:val="PargrafodaLista"/>
        <w:numPr>
          <w:ilvl w:val="0"/>
          <w:numId w:val="6"/>
        </w:numPr>
        <w:tabs>
          <w:tab w:val="left" w:pos="3484"/>
          <w:tab w:val="left" w:pos="3485"/>
        </w:tabs>
        <w:spacing w:before="0"/>
        <w:ind w:left="3484" w:right="0" w:hanging="590"/>
        <w:rPr>
          <w:sz w:val="24"/>
        </w:rPr>
      </w:pPr>
      <w:r>
        <w:rPr>
          <w:sz w:val="24"/>
        </w:rPr>
        <w:t>Câmara Técnica de Nutrição</w:t>
      </w:r>
      <w:r>
        <w:rPr>
          <w:spacing w:val="-5"/>
          <w:sz w:val="24"/>
        </w:rPr>
        <w:t xml:space="preserve"> </w:t>
      </w:r>
      <w:r>
        <w:rPr>
          <w:sz w:val="24"/>
        </w:rPr>
        <w:t>Clínica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spacing w:before="11"/>
        <w:rPr>
          <w:sz w:val="20"/>
        </w:rPr>
      </w:pPr>
    </w:p>
    <w:p w:rsidR="002A5B4A" w:rsidRDefault="00D712FD">
      <w:pPr>
        <w:pStyle w:val="Corpodetexto"/>
        <w:spacing w:line="276" w:lineRule="auto"/>
        <w:ind w:left="315" w:right="113" w:firstLine="1845"/>
        <w:jc w:val="both"/>
      </w:pPr>
      <w:r>
        <w:t xml:space="preserve">§ 1º A escolha dos membros para a composição das Câmaras Técnicas será feita pelo Plenário do Conselho Regional </w:t>
      </w:r>
      <w:r>
        <w:rPr>
          <w:spacing w:val="-6"/>
        </w:rPr>
        <w:t xml:space="preserve">de </w:t>
      </w:r>
      <w:r>
        <w:t>Nutricionistas – 2ª Região (CRN-2), observado o que segue: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5"/>
        </w:numPr>
        <w:tabs>
          <w:tab w:val="left" w:pos="2451"/>
        </w:tabs>
        <w:spacing w:line="276" w:lineRule="auto"/>
        <w:ind w:firstLine="1845"/>
        <w:rPr>
          <w:sz w:val="24"/>
        </w:rPr>
      </w:pPr>
      <w:r>
        <w:rPr>
          <w:sz w:val="24"/>
        </w:rPr>
        <w:t xml:space="preserve">serão escolhidos 5 (três) membros para cada </w:t>
      </w:r>
      <w:r>
        <w:rPr>
          <w:spacing w:val="-3"/>
          <w:sz w:val="24"/>
        </w:rPr>
        <w:t xml:space="preserve">Câmara </w:t>
      </w:r>
      <w:r>
        <w:rPr>
          <w:sz w:val="24"/>
        </w:rPr>
        <w:t>Técnica, observado o disposto no inciso II seguinte;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5"/>
        </w:numPr>
        <w:tabs>
          <w:tab w:val="left" w:pos="2457"/>
        </w:tabs>
        <w:spacing w:before="200" w:line="276" w:lineRule="auto"/>
        <w:ind w:right="118" w:firstLine="1845"/>
        <w:rPr>
          <w:sz w:val="24"/>
        </w:rPr>
      </w:pPr>
      <w:r>
        <w:rPr>
          <w:sz w:val="24"/>
        </w:rPr>
        <w:t xml:space="preserve">a escolha poderá recair em pelo menos 3 (três) membros do Conselho Regional de Nutricionistas – 2ª Região (CRN-2), sendo que a Coordenação Técnica do CRN-2 fará parte de toda e qualquer </w:t>
      </w:r>
      <w:r>
        <w:rPr>
          <w:spacing w:val="-3"/>
          <w:sz w:val="24"/>
        </w:rPr>
        <w:t xml:space="preserve">Câmara </w:t>
      </w:r>
      <w:r>
        <w:rPr>
          <w:sz w:val="24"/>
        </w:rPr>
        <w:t>Técnica.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5"/>
        </w:numPr>
        <w:tabs>
          <w:tab w:val="left" w:pos="2584"/>
        </w:tabs>
        <w:spacing w:line="276" w:lineRule="auto"/>
        <w:ind w:right="117" w:firstLine="1845"/>
        <w:rPr>
          <w:sz w:val="24"/>
        </w:rPr>
      </w:pPr>
      <w:r>
        <w:rPr>
          <w:sz w:val="24"/>
        </w:rPr>
        <w:t xml:space="preserve">conforme o tema abordado pelas Câmaras Técnicas, poderão ser consultados profissionais (nutricionistas ou outros) experts </w:t>
      </w:r>
      <w:r>
        <w:rPr>
          <w:spacing w:val="-8"/>
          <w:sz w:val="24"/>
        </w:rPr>
        <w:t xml:space="preserve">na </w:t>
      </w:r>
      <w:r>
        <w:rPr>
          <w:sz w:val="24"/>
        </w:rPr>
        <w:t>área.</w:t>
      </w: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spacing w:before="4"/>
        <w:rPr>
          <w:sz w:val="21"/>
        </w:rPr>
      </w:pPr>
    </w:p>
    <w:p w:rsidR="002A5B4A" w:rsidRDefault="00D712FD">
      <w:pPr>
        <w:pStyle w:val="Corpodetexto"/>
        <w:tabs>
          <w:tab w:val="left" w:pos="2643"/>
          <w:tab w:val="left" w:pos="2993"/>
          <w:tab w:val="left" w:pos="4010"/>
          <w:tab w:val="left" w:pos="5347"/>
          <w:tab w:val="left" w:pos="6230"/>
          <w:tab w:val="left" w:pos="6685"/>
          <w:tab w:val="left" w:pos="7953"/>
          <w:tab w:val="left" w:pos="8288"/>
        </w:tabs>
        <w:spacing w:before="92"/>
        <w:ind w:left="2160"/>
      </w:pPr>
      <w:r>
        <w:t>III.</w:t>
      </w:r>
      <w:r>
        <w:tab/>
        <w:t>a</w:t>
      </w:r>
      <w:r>
        <w:tab/>
        <w:t>câmara</w:t>
      </w:r>
      <w:r>
        <w:tab/>
        <w:t>designará,</w:t>
      </w:r>
      <w:r>
        <w:tab/>
        <w:t>dentre</w:t>
      </w:r>
      <w:r>
        <w:tab/>
        <w:t>os</w:t>
      </w:r>
      <w:r>
        <w:tab/>
        <w:t>membros,</w:t>
      </w:r>
      <w:r>
        <w:tab/>
        <w:t>1</w:t>
      </w:r>
      <w:r>
        <w:tab/>
        <w:t>(um)</w:t>
      </w:r>
    </w:p>
    <w:p w:rsidR="002A5B4A" w:rsidRDefault="00D712FD">
      <w:pPr>
        <w:pStyle w:val="Corpodetexto"/>
        <w:spacing w:before="42"/>
        <w:ind w:left="315"/>
      </w:pPr>
      <w:r>
        <w:t>Coordenador.</w:t>
      </w: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spacing w:before="10"/>
      </w:pPr>
    </w:p>
    <w:p w:rsidR="002A5B4A" w:rsidRDefault="00D712FD">
      <w:pPr>
        <w:pStyle w:val="Corpodetexto"/>
        <w:spacing w:before="92" w:line="276" w:lineRule="auto"/>
        <w:ind w:left="315" w:right="112" w:firstLine="1845"/>
        <w:jc w:val="both"/>
      </w:pPr>
      <w:r>
        <w:t>§ 2º Os membros das Câmaras Técnicas serão escolhidos para o cumprimento de mandato de um ano, podendo, a critério do Plenário do CRN-2, serem reconduzidos, por meio de Ato Normativo, por igual período.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22" w:firstLine="1941"/>
        <w:jc w:val="both"/>
      </w:pPr>
      <w:r>
        <w:t>§ 3º A instalação de cada Câmara Técnica, após a escolha de seus membros, far-se-á por convocação a cargo do Presidente ou da Diretoria do CRN-2.</w:t>
      </w:r>
    </w:p>
    <w:p w:rsidR="002A5B4A" w:rsidRDefault="002A5B4A">
      <w:pPr>
        <w:spacing w:line="276" w:lineRule="auto"/>
        <w:jc w:val="both"/>
        <w:sectPr w:rsidR="002A5B4A">
          <w:pgSz w:w="11920" w:h="16840"/>
          <w:pgMar w:top="1360" w:right="1340" w:bottom="280" w:left="1680" w:header="720" w:footer="720" w:gutter="0"/>
          <w:cols w:space="720"/>
        </w:sectPr>
      </w:pPr>
    </w:p>
    <w:p w:rsidR="002A5B4A" w:rsidRDefault="00D712FD">
      <w:pPr>
        <w:pStyle w:val="Corpodetexto"/>
        <w:spacing w:before="80"/>
        <w:ind w:left="2160"/>
      </w:pPr>
      <w:r w:rsidRPr="009A37AE">
        <w:lastRenderedPageBreak/>
        <w:t>§ 4º A frequência</w:t>
      </w:r>
      <w:r>
        <w:t xml:space="preserve"> de reuniões será definida por cada Câmara</w:t>
      </w:r>
    </w:p>
    <w:p w:rsidR="002A5B4A" w:rsidRDefault="00D712FD">
      <w:pPr>
        <w:pStyle w:val="Corpodetexto"/>
        <w:spacing w:before="41"/>
        <w:ind w:left="315"/>
      </w:pPr>
      <w:r>
        <w:t>Técnica.</w:t>
      </w: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rPr>
          <w:sz w:val="20"/>
        </w:rPr>
      </w:pPr>
    </w:p>
    <w:p w:rsidR="002A5B4A" w:rsidRDefault="002A5B4A">
      <w:pPr>
        <w:pStyle w:val="Corpodetexto"/>
        <w:spacing w:before="11"/>
      </w:pPr>
    </w:p>
    <w:p w:rsidR="002A5B4A" w:rsidRDefault="00D712FD">
      <w:pPr>
        <w:pStyle w:val="Corpodetexto"/>
        <w:spacing w:before="92" w:line="276" w:lineRule="auto"/>
        <w:ind w:left="315" w:right="122" w:firstLine="1845"/>
        <w:jc w:val="both"/>
      </w:pPr>
      <w:r>
        <w:t xml:space="preserve">Art. 3º Compete às Câmaras Técnicas, no âmbito </w:t>
      </w:r>
      <w:r>
        <w:rPr>
          <w:spacing w:val="-4"/>
        </w:rPr>
        <w:t>das</w:t>
      </w:r>
      <w:r>
        <w:rPr>
          <w:spacing w:val="58"/>
        </w:rPr>
        <w:t xml:space="preserve"> </w:t>
      </w:r>
      <w:r>
        <w:t>respectivas especializações: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4"/>
        </w:numPr>
        <w:tabs>
          <w:tab w:val="left" w:pos="2376"/>
        </w:tabs>
        <w:spacing w:line="276" w:lineRule="auto"/>
        <w:ind w:right="118" w:firstLine="1845"/>
        <w:rPr>
          <w:sz w:val="24"/>
        </w:rPr>
      </w:pPr>
      <w:r>
        <w:rPr>
          <w:sz w:val="24"/>
        </w:rPr>
        <w:t xml:space="preserve">Prestar assessoramento ao Plenário do Conselho Regional de Nutricionistas – 2ª Região (CRN-2), nas questões em que sejam </w:t>
      </w:r>
      <w:r>
        <w:rPr>
          <w:spacing w:val="-3"/>
          <w:sz w:val="24"/>
        </w:rPr>
        <w:t xml:space="preserve">chamadas </w:t>
      </w:r>
      <w:r>
        <w:rPr>
          <w:sz w:val="24"/>
        </w:rPr>
        <w:t>a se manifestarem, desenvolvendo as seguintes ações: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3"/>
        </w:numPr>
        <w:tabs>
          <w:tab w:val="left" w:pos="2487"/>
        </w:tabs>
        <w:spacing w:before="200" w:line="276" w:lineRule="auto"/>
        <w:ind w:firstLine="1845"/>
        <w:rPr>
          <w:sz w:val="24"/>
        </w:rPr>
      </w:pPr>
      <w:r>
        <w:rPr>
          <w:sz w:val="24"/>
        </w:rPr>
        <w:t>atuar na discussão, avaliação, planejamento, orientação, implementação e apoio em assuntos de natureza técnica e científica;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3"/>
        </w:numPr>
        <w:tabs>
          <w:tab w:val="left" w:pos="2457"/>
        </w:tabs>
        <w:spacing w:line="276" w:lineRule="auto"/>
        <w:ind w:right="115" w:firstLine="1845"/>
        <w:rPr>
          <w:sz w:val="24"/>
        </w:rPr>
      </w:pPr>
      <w:r>
        <w:rPr>
          <w:sz w:val="24"/>
        </w:rPr>
        <w:t xml:space="preserve">contribuir para a definição de estratégias para a resolução de problemas relacionados com o exercício das profissões de Nutricionista </w:t>
      </w:r>
      <w:r>
        <w:rPr>
          <w:spacing w:val="-14"/>
          <w:sz w:val="24"/>
        </w:rPr>
        <w:t xml:space="preserve">e  </w:t>
      </w:r>
      <w:r>
        <w:rPr>
          <w:sz w:val="24"/>
        </w:rPr>
        <w:t>de Técnicos em Nutrição e Dietética, visando à observância das disposições legais e normativas e ao aperfeiçoamento das práticas no exercício profissional, e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3"/>
        </w:numPr>
        <w:tabs>
          <w:tab w:val="left" w:pos="2474"/>
        </w:tabs>
        <w:spacing w:before="200" w:line="276" w:lineRule="auto"/>
        <w:ind w:right="121" w:firstLine="1845"/>
        <w:rPr>
          <w:sz w:val="24"/>
        </w:rPr>
      </w:pPr>
      <w:r>
        <w:rPr>
          <w:sz w:val="24"/>
        </w:rPr>
        <w:t xml:space="preserve">desenvolver e participar do desenvolvimento de projetos que visem à melhoria da qualidade das ações relacionadas à Alimentação </w:t>
      </w:r>
      <w:r>
        <w:rPr>
          <w:spacing w:val="-14"/>
          <w:sz w:val="24"/>
        </w:rPr>
        <w:t xml:space="preserve">e </w:t>
      </w:r>
      <w:r>
        <w:rPr>
          <w:sz w:val="24"/>
        </w:rPr>
        <w:t>Nutrição.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4"/>
        </w:numPr>
        <w:tabs>
          <w:tab w:val="left" w:pos="2472"/>
        </w:tabs>
        <w:spacing w:line="276" w:lineRule="auto"/>
        <w:ind w:right="114" w:firstLine="1845"/>
        <w:rPr>
          <w:sz w:val="24"/>
        </w:rPr>
      </w:pPr>
      <w:r>
        <w:rPr>
          <w:sz w:val="24"/>
        </w:rPr>
        <w:t xml:space="preserve">examinar temas relacionados ao exercício das profissões de Nutricionista e de Técnicos em Nutrição e Dietética e ao interesse coletivo, desenvolvendo estudos e emitindo pareceres fundamentados que  </w:t>
      </w:r>
      <w:r>
        <w:rPr>
          <w:spacing w:val="-3"/>
          <w:sz w:val="24"/>
        </w:rPr>
        <w:t xml:space="preserve">atendam </w:t>
      </w:r>
      <w:r>
        <w:rPr>
          <w:sz w:val="24"/>
        </w:rPr>
        <w:t>aos interesses da área de Alimentação e</w:t>
      </w:r>
      <w:r>
        <w:rPr>
          <w:spacing w:val="-14"/>
          <w:sz w:val="24"/>
        </w:rPr>
        <w:t xml:space="preserve"> </w:t>
      </w:r>
      <w:r>
        <w:rPr>
          <w:sz w:val="24"/>
        </w:rPr>
        <w:t>Nutrição.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59" w:line="276" w:lineRule="auto"/>
        <w:ind w:left="315" w:right="114" w:firstLine="1845"/>
        <w:jc w:val="both"/>
      </w:pPr>
      <w:r>
        <w:rPr>
          <w:b/>
        </w:rPr>
        <w:t xml:space="preserve">Art. 3º </w:t>
      </w:r>
      <w:r>
        <w:t xml:space="preserve">No funcionamento das Câmaras Técnicas </w:t>
      </w:r>
      <w:r>
        <w:rPr>
          <w:spacing w:val="-3"/>
        </w:rPr>
        <w:t xml:space="preserve">serão </w:t>
      </w:r>
      <w:r>
        <w:t>observadas as seguintes normas, sem prejuízo de outras que possam ser ajustadas internamente:</w:t>
      </w:r>
    </w:p>
    <w:p w:rsidR="002A5B4A" w:rsidRDefault="002A5B4A">
      <w:pPr>
        <w:spacing w:line="276" w:lineRule="auto"/>
        <w:jc w:val="both"/>
        <w:sectPr w:rsidR="002A5B4A">
          <w:pgSz w:w="11920" w:h="16840"/>
          <w:pgMar w:top="1360" w:right="1340" w:bottom="280" w:left="1680" w:header="720" w:footer="720" w:gutter="0"/>
          <w:cols w:space="720"/>
        </w:sectPr>
      </w:pPr>
    </w:p>
    <w:p w:rsidR="002A5B4A" w:rsidRDefault="002A5B4A">
      <w:pPr>
        <w:pStyle w:val="Corpodetexto"/>
        <w:spacing w:before="6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496"/>
        </w:tabs>
        <w:spacing w:before="92" w:line="276" w:lineRule="auto"/>
        <w:ind w:firstLine="1845"/>
        <w:rPr>
          <w:sz w:val="24"/>
        </w:rPr>
      </w:pPr>
      <w:r>
        <w:rPr>
          <w:sz w:val="24"/>
        </w:rPr>
        <w:t xml:space="preserve">o Coordenador elaborará um Plano de Trabalho </w:t>
      </w:r>
      <w:r>
        <w:rPr>
          <w:spacing w:val="-7"/>
          <w:sz w:val="24"/>
        </w:rPr>
        <w:t xml:space="preserve">da </w:t>
      </w:r>
      <w:r>
        <w:rPr>
          <w:sz w:val="24"/>
        </w:rPr>
        <w:t xml:space="preserve">respectiva Câmara, remetendo-a à aprovação da Diretoria do Conselho Regional de Nutricionistas – 2ª Região (CRN-2) com antecedência de </w:t>
      </w:r>
      <w:r>
        <w:rPr>
          <w:spacing w:val="-6"/>
          <w:sz w:val="24"/>
        </w:rPr>
        <w:t xml:space="preserve">30 </w:t>
      </w:r>
      <w:r>
        <w:rPr>
          <w:sz w:val="24"/>
        </w:rPr>
        <w:t>(trinta) dias da data de realização do primeiro evento, salvo justificada urgência, quando esse prazo poderá ser dispensado;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472"/>
        </w:tabs>
        <w:spacing w:before="200" w:line="276" w:lineRule="auto"/>
        <w:ind w:firstLine="1845"/>
        <w:rPr>
          <w:sz w:val="24"/>
        </w:rPr>
      </w:pPr>
      <w:r>
        <w:rPr>
          <w:sz w:val="24"/>
        </w:rPr>
        <w:t xml:space="preserve">o Coordenador elaborará a pauta de assuntos que serão objeto de exame e discussão, levando em conta os encaminhamentos </w:t>
      </w:r>
      <w:r>
        <w:rPr>
          <w:spacing w:val="-3"/>
          <w:sz w:val="24"/>
        </w:rPr>
        <w:t xml:space="preserve">feitos </w:t>
      </w:r>
      <w:r>
        <w:rPr>
          <w:sz w:val="24"/>
        </w:rPr>
        <w:t>pelo Conselho Regional de Nutricionistas – 2ª Região (CRN-2);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524"/>
        </w:tabs>
        <w:spacing w:line="276" w:lineRule="auto"/>
        <w:ind w:firstLine="1845"/>
        <w:rPr>
          <w:sz w:val="24"/>
        </w:rPr>
      </w:pPr>
      <w:r>
        <w:rPr>
          <w:sz w:val="24"/>
        </w:rPr>
        <w:t xml:space="preserve">as pautas contendo os assuntos a serem deliberados </w:t>
      </w:r>
      <w:r>
        <w:rPr>
          <w:spacing w:val="-5"/>
          <w:sz w:val="24"/>
        </w:rPr>
        <w:t xml:space="preserve">nas </w:t>
      </w:r>
      <w:r>
        <w:rPr>
          <w:sz w:val="24"/>
        </w:rPr>
        <w:t xml:space="preserve">Câmara serão remetidas pelo Coordenador ao Presidente do Conselho Regional de Nutricionistas – 2ª Região (CRN-2) e aos membros da respectiva Câmara, com antecedência mínima de 15 (quinze) dias da data da reunião </w:t>
      </w:r>
      <w:r>
        <w:rPr>
          <w:spacing w:val="-9"/>
          <w:sz w:val="24"/>
        </w:rPr>
        <w:t xml:space="preserve">em </w:t>
      </w:r>
      <w:r>
        <w:rPr>
          <w:sz w:val="24"/>
        </w:rPr>
        <w:t>que se dará a discussão, salvo motivo de urgência devidamente justificado;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604"/>
        </w:tabs>
        <w:spacing w:line="276" w:lineRule="auto"/>
        <w:ind w:right="114" w:firstLine="1845"/>
        <w:rPr>
          <w:sz w:val="24"/>
        </w:rPr>
      </w:pPr>
      <w:r>
        <w:rPr>
          <w:sz w:val="24"/>
        </w:rPr>
        <w:t xml:space="preserve">para instalação e prosseguimento das reuniões será exigida a presença de, no mínimo 3 (três) membros da Câmara Técnica, e </w:t>
      </w:r>
      <w:r>
        <w:rPr>
          <w:spacing w:val="-9"/>
          <w:sz w:val="24"/>
        </w:rPr>
        <w:t xml:space="preserve">as </w:t>
      </w:r>
      <w:r>
        <w:rPr>
          <w:sz w:val="24"/>
        </w:rPr>
        <w:t>deliberações serão aprovadas por 2/3 pelos membros presentes;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492"/>
        </w:tabs>
        <w:spacing w:before="200" w:line="276" w:lineRule="auto"/>
        <w:ind w:right="118" w:firstLine="1845"/>
        <w:rPr>
          <w:sz w:val="24"/>
        </w:rPr>
      </w:pPr>
      <w:r>
        <w:rPr>
          <w:sz w:val="24"/>
        </w:rPr>
        <w:t xml:space="preserve">na discussão e conclusão de matérias, terão prioridade aquelas que, sendo propostas pelo Conselho Regional de Nutricionistas – </w:t>
      </w:r>
      <w:r>
        <w:rPr>
          <w:spacing w:val="-7"/>
          <w:sz w:val="24"/>
        </w:rPr>
        <w:t xml:space="preserve">2ª </w:t>
      </w:r>
      <w:r>
        <w:rPr>
          <w:sz w:val="24"/>
        </w:rPr>
        <w:t>Região (CRN-2), sejam objeto de pedido de urgência;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611"/>
        </w:tabs>
        <w:spacing w:line="276" w:lineRule="auto"/>
        <w:ind w:firstLine="1845"/>
        <w:rPr>
          <w:sz w:val="24"/>
        </w:rPr>
      </w:pPr>
      <w:r>
        <w:rPr>
          <w:sz w:val="24"/>
        </w:rPr>
        <w:t xml:space="preserve">todas as manifestações das Câmaras Técnicas </w:t>
      </w:r>
      <w:r>
        <w:rPr>
          <w:spacing w:val="-4"/>
          <w:sz w:val="24"/>
        </w:rPr>
        <w:t xml:space="preserve">serão </w:t>
      </w:r>
      <w:r>
        <w:rPr>
          <w:sz w:val="24"/>
        </w:rPr>
        <w:t>apresentadas em documento escrito, que conterá obrigatoriamente: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1"/>
        </w:numPr>
        <w:tabs>
          <w:tab w:val="left" w:pos="2442"/>
        </w:tabs>
        <w:spacing w:before="200" w:line="276" w:lineRule="auto"/>
        <w:ind w:right="115" w:firstLine="1845"/>
        <w:rPr>
          <w:sz w:val="24"/>
        </w:rPr>
      </w:pPr>
      <w:r>
        <w:rPr>
          <w:sz w:val="24"/>
        </w:rPr>
        <w:t xml:space="preserve">relatório, no qual será feita a exposição detalhada do fato </w:t>
      </w:r>
      <w:r>
        <w:rPr>
          <w:spacing w:val="-17"/>
          <w:sz w:val="24"/>
        </w:rPr>
        <w:t xml:space="preserve">e </w:t>
      </w:r>
      <w:r>
        <w:rPr>
          <w:sz w:val="24"/>
        </w:rPr>
        <w:t>dos elementos que demandam a atuação da Câmara;</w:t>
      </w:r>
    </w:p>
    <w:p w:rsidR="002A5B4A" w:rsidRDefault="002A5B4A">
      <w:pPr>
        <w:spacing w:line="276" w:lineRule="auto"/>
        <w:jc w:val="both"/>
        <w:rPr>
          <w:sz w:val="24"/>
        </w:rPr>
        <w:sectPr w:rsidR="002A5B4A">
          <w:pgSz w:w="11920" w:h="16840"/>
          <w:pgMar w:top="1600" w:right="1340" w:bottom="280" w:left="1680" w:header="720" w:footer="720" w:gutter="0"/>
          <w:cols w:space="720"/>
        </w:sectPr>
      </w:pPr>
    </w:p>
    <w:p w:rsidR="002A5B4A" w:rsidRPr="009A37AE" w:rsidRDefault="00D712FD">
      <w:pPr>
        <w:pStyle w:val="PargrafodaLista"/>
        <w:numPr>
          <w:ilvl w:val="0"/>
          <w:numId w:val="1"/>
        </w:numPr>
        <w:tabs>
          <w:tab w:val="left" w:pos="2457"/>
        </w:tabs>
        <w:spacing w:before="80" w:line="276" w:lineRule="auto"/>
        <w:ind w:right="115" w:firstLine="1845"/>
        <w:rPr>
          <w:sz w:val="24"/>
        </w:rPr>
      </w:pPr>
      <w:r w:rsidRPr="009A37AE">
        <w:rPr>
          <w:sz w:val="24"/>
        </w:rPr>
        <w:lastRenderedPageBreak/>
        <w:t xml:space="preserve">ou parecer, no qual será feita a exposição </w:t>
      </w:r>
      <w:r w:rsidRPr="009A37AE">
        <w:rPr>
          <w:spacing w:val="-2"/>
          <w:sz w:val="24"/>
        </w:rPr>
        <w:t xml:space="preserve">circunstanciada </w:t>
      </w:r>
      <w:r w:rsidRPr="009A37AE">
        <w:rPr>
          <w:sz w:val="24"/>
        </w:rPr>
        <w:t>de todos os aspectos técnicos relacionados à matéria em exame, e</w:t>
      </w:r>
    </w:p>
    <w:p w:rsidR="002A5B4A" w:rsidRPr="009A37AE" w:rsidRDefault="002A5B4A">
      <w:pPr>
        <w:pStyle w:val="Corpodetexto"/>
        <w:rPr>
          <w:sz w:val="26"/>
        </w:rPr>
      </w:pPr>
    </w:p>
    <w:p w:rsidR="002A5B4A" w:rsidRPr="009A37AE" w:rsidRDefault="002A5B4A">
      <w:pPr>
        <w:pStyle w:val="Corpodetexto"/>
        <w:rPr>
          <w:sz w:val="26"/>
        </w:rPr>
      </w:pPr>
    </w:p>
    <w:p w:rsidR="002A5B4A" w:rsidRPr="009A37AE" w:rsidRDefault="00D712FD">
      <w:pPr>
        <w:pStyle w:val="PargrafodaLista"/>
        <w:numPr>
          <w:ilvl w:val="0"/>
          <w:numId w:val="1"/>
        </w:numPr>
        <w:tabs>
          <w:tab w:val="left" w:pos="2429"/>
        </w:tabs>
        <w:spacing w:line="276" w:lineRule="auto"/>
        <w:ind w:right="125" w:firstLine="1845"/>
        <w:rPr>
          <w:sz w:val="24"/>
        </w:rPr>
      </w:pPr>
      <w:r w:rsidRPr="009A37AE">
        <w:rPr>
          <w:sz w:val="24"/>
        </w:rPr>
        <w:t xml:space="preserve">conclusão, na qual será externada a posição dos </w:t>
      </w:r>
      <w:r w:rsidRPr="009A37AE">
        <w:rPr>
          <w:spacing w:val="-3"/>
          <w:sz w:val="24"/>
        </w:rPr>
        <w:t xml:space="preserve">membros </w:t>
      </w:r>
      <w:r w:rsidRPr="009A37AE">
        <w:rPr>
          <w:sz w:val="24"/>
        </w:rPr>
        <w:t>que participaram da discussão.</w:t>
      </w:r>
    </w:p>
    <w:p w:rsidR="002A5B4A" w:rsidRPr="009A37AE" w:rsidRDefault="002A5B4A">
      <w:pPr>
        <w:pStyle w:val="Corpodetexto"/>
        <w:rPr>
          <w:sz w:val="26"/>
        </w:rPr>
      </w:pPr>
    </w:p>
    <w:p w:rsidR="002A5B4A" w:rsidRPr="009A37AE" w:rsidRDefault="002A5B4A">
      <w:pPr>
        <w:pStyle w:val="Corpodetexto"/>
        <w:rPr>
          <w:sz w:val="26"/>
        </w:rPr>
      </w:pPr>
    </w:p>
    <w:p w:rsidR="002A5B4A" w:rsidRDefault="00D712FD">
      <w:pPr>
        <w:pStyle w:val="PargrafodaLista"/>
        <w:numPr>
          <w:ilvl w:val="0"/>
          <w:numId w:val="2"/>
        </w:numPr>
        <w:tabs>
          <w:tab w:val="left" w:pos="2662"/>
        </w:tabs>
        <w:spacing w:before="200" w:line="276" w:lineRule="auto"/>
        <w:ind w:right="112" w:firstLine="1845"/>
        <w:rPr>
          <w:sz w:val="24"/>
        </w:rPr>
      </w:pPr>
      <w:r w:rsidRPr="009A37AE">
        <w:rPr>
          <w:sz w:val="24"/>
        </w:rPr>
        <w:t>perderá o</w:t>
      </w:r>
      <w:r>
        <w:rPr>
          <w:sz w:val="24"/>
        </w:rPr>
        <w:t xml:space="preserve"> mandato o membro que não comparecer </w:t>
      </w:r>
      <w:r>
        <w:rPr>
          <w:spacing w:val="-15"/>
          <w:sz w:val="24"/>
        </w:rPr>
        <w:t xml:space="preserve">3 </w:t>
      </w:r>
      <w:r>
        <w:rPr>
          <w:sz w:val="24"/>
        </w:rPr>
        <w:t>(três) reuniões ordinárias, sem justificativa prévia.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right="112" w:firstLine="1845"/>
        <w:jc w:val="both"/>
      </w:pPr>
      <w:r>
        <w:rPr>
          <w:b/>
        </w:rPr>
        <w:t xml:space="preserve">Art. 4º </w:t>
      </w:r>
      <w:r>
        <w:t>As manifestações das Câmaras Técnicas serão submetidas à aprovação do Plenário do Conselho Regional de Nutricionistas – 2ª Região (CRN-2), que decidirá acerca dos seus encaminhamentos subsequentes.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right="123" w:firstLine="1845"/>
        <w:jc w:val="both"/>
      </w:pPr>
      <w:r>
        <w:rPr>
          <w:b/>
        </w:rPr>
        <w:t xml:space="preserve">Art. 5º </w:t>
      </w:r>
      <w:r>
        <w:t>O Conselho Regional de Nutricionistas – 2ª Região (CRN-2) prestará apoio operacional às reuniões das Câmaras e dos Grupos de Trabalho, na forma das suas normas internas.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22" w:firstLine="1845"/>
        <w:jc w:val="both"/>
      </w:pPr>
      <w:r>
        <w:rPr>
          <w:b/>
        </w:rPr>
        <w:t xml:space="preserve">Art. 6º </w:t>
      </w:r>
      <w:r>
        <w:t xml:space="preserve">O Conselho Regional de Nutricionistas – 2ª Região (CRN-2) prestará apoio financeiro, custeando as despesas com transporte, alimentação e hospedagem dos membros das Câmaras Técnicas, na </w:t>
      </w:r>
      <w:r>
        <w:rPr>
          <w:spacing w:val="-3"/>
        </w:rPr>
        <w:t xml:space="preserve">forma </w:t>
      </w:r>
      <w:r>
        <w:t>das suas normas internas.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right="114" w:firstLine="1845"/>
        <w:jc w:val="both"/>
      </w:pPr>
      <w:r>
        <w:t>Parágrafo único. As atividades desempenhadas pelos membros das Câmaras Técnicas ou dos Grupos de Trabalho não serão remuneradas, inexistindo qualquer relação empregatícia ou contratual de qualquer natureza com o Conselho Regional de Nutricionistas – 2ª Região (CRN-2).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59" w:line="276" w:lineRule="auto"/>
        <w:ind w:left="315" w:right="118" w:firstLine="1845"/>
        <w:jc w:val="both"/>
      </w:pPr>
      <w:r>
        <w:rPr>
          <w:b/>
        </w:rPr>
        <w:t xml:space="preserve">Art. 7º </w:t>
      </w:r>
      <w:r>
        <w:t>A Câmara de Formação Profissional poderá propor ao Plenário do CRN-2, a criação de Grupos de Trabalho (GTs), de caráter</w:t>
      </w:r>
    </w:p>
    <w:p w:rsidR="002A5B4A" w:rsidRDefault="002A5B4A">
      <w:pPr>
        <w:spacing w:line="276" w:lineRule="auto"/>
        <w:jc w:val="both"/>
        <w:sectPr w:rsidR="002A5B4A">
          <w:pgSz w:w="11920" w:h="16840"/>
          <w:pgMar w:top="1360" w:right="1340" w:bottom="280" w:left="1680" w:header="720" w:footer="720" w:gutter="0"/>
          <w:cols w:space="720"/>
        </w:sectPr>
      </w:pPr>
    </w:p>
    <w:p w:rsidR="002A5B4A" w:rsidRDefault="00D712FD">
      <w:pPr>
        <w:pStyle w:val="Corpodetexto"/>
        <w:tabs>
          <w:tab w:val="left" w:pos="1693"/>
          <w:tab w:val="left" w:pos="2405"/>
          <w:tab w:val="left" w:pos="3451"/>
          <w:tab w:val="left" w:pos="4603"/>
          <w:tab w:val="left" w:pos="5102"/>
          <w:tab w:val="left" w:pos="5933"/>
          <w:tab w:val="left" w:pos="7698"/>
          <w:tab w:val="left" w:pos="8315"/>
        </w:tabs>
        <w:spacing w:before="80" w:line="276" w:lineRule="auto"/>
        <w:ind w:left="315" w:right="115"/>
      </w:pPr>
      <w:r>
        <w:lastRenderedPageBreak/>
        <w:t>temporário</w:t>
      </w:r>
      <w:r>
        <w:tab/>
        <w:t>para</w:t>
      </w:r>
      <w:r>
        <w:tab/>
        <w:t>atender</w:t>
      </w:r>
      <w:r>
        <w:tab/>
        <w:t>matérias</w:t>
      </w:r>
      <w:r>
        <w:tab/>
        <w:t>de</w:t>
      </w:r>
      <w:r>
        <w:tab/>
        <w:t>maior</w:t>
      </w:r>
      <w:r>
        <w:tab/>
        <w:t>complexidade,</w:t>
      </w:r>
      <w:r>
        <w:tab/>
        <w:t>que</w:t>
      </w:r>
      <w:r>
        <w:tab/>
      </w:r>
      <w:r>
        <w:rPr>
          <w:spacing w:val="-5"/>
        </w:rPr>
        <w:t xml:space="preserve">será </w:t>
      </w:r>
      <w:r>
        <w:t>normatizado através de Ato Normativo</w:t>
      </w:r>
      <w:r>
        <w:rPr>
          <w:spacing w:val="-14"/>
        </w:rPr>
        <w:t xml:space="preserve"> </w:t>
      </w:r>
      <w:r>
        <w:t>específico.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199" w:line="276" w:lineRule="auto"/>
        <w:ind w:left="315" w:firstLine="1845"/>
      </w:pPr>
      <w:r>
        <w:rPr>
          <w:b/>
        </w:rPr>
        <w:t xml:space="preserve">Art. 8º </w:t>
      </w:r>
      <w:r>
        <w:t>Os casos omissos serão resolvidos pelo Plenário do Conselho Regional de Nutricionistas – 2ª Região (CRN-2).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>
      <w:pPr>
        <w:pStyle w:val="Corpodetexto"/>
        <w:spacing w:before="200" w:line="276" w:lineRule="auto"/>
        <w:ind w:left="315" w:right="125" w:firstLine="1845"/>
      </w:pPr>
      <w:r>
        <w:t>Art. 9º. Este Ato entra em vigor na data de sua publicação, revogando-se o Ato Normativo CRN-2 001/06.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D712FD" w:rsidP="0009456D">
      <w:pPr>
        <w:pStyle w:val="Corpodetexto"/>
        <w:spacing w:before="158"/>
        <w:jc w:val="right"/>
      </w:pPr>
      <w:r>
        <w:t xml:space="preserve">Porto Alegre, </w:t>
      </w:r>
      <w:r w:rsidR="0009456D">
        <w:t>0</w:t>
      </w:r>
      <w:r w:rsidR="00C122AC">
        <w:t>9</w:t>
      </w:r>
      <w:bookmarkStart w:id="0" w:name="_GoBack"/>
      <w:bookmarkEnd w:id="0"/>
      <w:r>
        <w:t xml:space="preserve"> de </w:t>
      </w:r>
      <w:r w:rsidR="0009456D">
        <w:t>setembro</w:t>
      </w:r>
      <w:r>
        <w:t xml:space="preserve"> de 2021.</w:t>
      </w: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2A5B4A" w:rsidRDefault="002A5B4A">
      <w:pPr>
        <w:pStyle w:val="Corpodetexto"/>
        <w:rPr>
          <w:sz w:val="26"/>
        </w:rPr>
      </w:pPr>
    </w:p>
    <w:p w:rsidR="0009456D" w:rsidRPr="0009456D" w:rsidRDefault="00D712FD" w:rsidP="0009456D">
      <w:pPr>
        <w:pStyle w:val="Corpodetexto"/>
        <w:tabs>
          <w:tab w:val="left" w:pos="5485"/>
          <w:tab w:val="left" w:pos="6819"/>
        </w:tabs>
        <w:spacing w:line="484" w:lineRule="auto"/>
        <w:ind w:right="131"/>
      </w:pPr>
      <w:r>
        <w:t>Ivete Regina Ciconet Dornelles</w:t>
      </w:r>
      <w:r>
        <w:tab/>
      </w:r>
      <w:r w:rsidR="0009456D">
        <w:t xml:space="preserve">               </w:t>
      </w:r>
      <w:r w:rsidR="0009456D" w:rsidRPr="0009456D">
        <w:t>Ana Lice Bernardi</w:t>
      </w:r>
    </w:p>
    <w:p w:rsidR="002A5B4A" w:rsidRDefault="00D712FD" w:rsidP="0009456D">
      <w:pPr>
        <w:pStyle w:val="Corpodetexto"/>
        <w:tabs>
          <w:tab w:val="left" w:pos="5485"/>
          <w:tab w:val="left" w:pos="6819"/>
        </w:tabs>
        <w:spacing w:line="484" w:lineRule="auto"/>
        <w:ind w:left="1499" w:right="131" w:hanging="1001"/>
      </w:pPr>
      <w:r>
        <w:t>Presidente</w:t>
      </w:r>
      <w:r>
        <w:tab/>
      </w:r>
      <w:r w:rsidR="0009456D">
        <w:tab/>
      </w:r>
      <w:r>
        <w:t>Secretária</w:t>
      </w:r>
    </w:p>
    <w:p w:rsidR="002A5B4A" w:rsidRDefault="0009456D" w:rsidP="0009456D">
      <w:pPr>
        <w:pStyle w:val="Corpodetexto"/>
        <w:tabs>
          <w:tab w:val="left" w:pos="6881"/>
        </w:tabs>
      </w:pPr>
      <w:r>
        <w:t xml:space="preserve">      </w:t>
      </w:r>
      <w:r w:rsidR="00D712FD">
        <w:t>CRN-2 0019</w:t>
      </w:r>
      <w:r>
        <w:t xml:space="preserve">                                                                           </w:t>
      </w:r>
      <w:r w:rsidR="00D712FD">
        <w:t xml:space="preserve">CRN-2 </w:t>
      </w:r>
      <w:r w:rsidR="00E576AA">
        <w:t>0114</w:t>
      </w:r>
    </w:p>
    <w:sectPr w:rsidR="002A5B4A">
      <w:pgSz w:w="11920" w:h="16840"/>
      <w:pgMar w:top="1360" w:right="134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5257" w:rsidRDefault="00EB5257" w:rsidP="00EB5257">
      <w:r>
        <w:separator/>
      </w:r>
    </w:p>
  </w:endnote>
  <w:endnote w:type="continuationSeparator" w:id="0">
    <w:p w:rsidR="00EB5257" w:rsidRDefault="00EB5257" w:rsidP="00EB5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5257" w:rsidRDefault="00EB5257" w:rsidP="00EB5257">
      <w:r>
        <w:separator/>
      </w:r>
    </w:p>
  </w:footnote>
  <w:footnote w:type="continuationSeparator" w:id="0">
    <w:p w:rsidR="00EB5257" w:rsidRDefault="00EB5257" w:rsidP="00EB52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5257" w:rsidRDefault="00625E24" w:rsidP="00EB5257">
    <w:pPr>
      <w:tabs>
        <w:tab w:val="left" w:pos="8175"/>
      </w:tabs>
      <w:jc w:val="center"/>
    </w:pPr>
    <w:hyperlink r:id="rId1" w:history="1">
      <w:r w:rsidR="0009456D">
        <w:rPr>
          <w:noProof/>
          <w:color w:val="0000FF"/>
        </w:rPr>
        <w:fldChar w:fldCharType="begin"/>
      </w:r>
      <w:r w:rsidR="0009456D">
        <w:rPr>
          <w:noProof/>
          <w:color w:val="0000FF"/>
        </w:rPr>
        <w:instrText xml:space="preserve"> INCLUDEPICTURE  \d "http://upload.wikimedia.org/wikipedia/commons/thumb/b/bf/Coat_of_arms_of_Brazil.svg/120px-Coat_of_arms_of_Brazil.svg.png" \* MERGEFORMATINET </w:instrText>
      </w:r>
      <w:r w:rsidR="0009456D">
        <w:rPr>
          <w:noProof/>
          <w:color w:val="0000FF"/>
        </w:rPr>
        <w:fldChar w:fldCharType="separate"/>
      </w:r>
      <w:r w:rsidR="00E576AA">
        <w:rPr>
          <w:noProof/>
          <w:color w:val="0000FF"/>
        </w:rPr>
        <w:fldChar w:fldCharType="begin"/>
      </w:r>
      <w:r w:rsidR="00E576AA">
        <w:rPr>
          <w:noProof/>
          <w:color w:val="0000FF"/>
        </w:rPr>
        <w:instrText xml:space="preserve"> INCLUDEPICTURE  \d "http://upload.wikimedia.org/wikipedia/commons/thumb/b/bf/Coat_of_arms_of_Brazil.svg/120px-Coat_of_arms_of_Brazil.svg.png" \* MERGEFORMATINET </w:instrText>
      </w:r>
      <w:r w:rsidR="00E576AA">
        <w:rPr>
          <w:noProof/>
          <w:color w:val="0000FF"/>
        </w:rPr>
        <w:fldChar w:fldCharType="separate"/>
      </w:r>
      <w:r w:rsidR="009A37AE">
        <w:rPr>
          <w:noProof/>
          <w:color w:val="0000FF"/>
        </w:rPr>
        <w:fldChar w:fldCharType="begin"/>
      </w:r>
      <w:r w:rsidR="009A37AE">
        <w:rPr>
          <w:noProof/>
          <w:color w:val="0000FF"/>
        </w:rPr>
        <w:instrText xml:space="preserve"> INCLUDEPICTURE  \d "http://upload.wikimedia.org/wikipedia/commons/thumb/b/bf/Coat_of_arms_of_Brazil.svg/120px-Coat_of_arms_of_Brazil.svg.png" \* MERGEFORMATINET </w:instrText>
      </w:r>
      <w:r w:rsidR="009A37AE">
        <w:rPr>
          <w:noProof/>
          <w:color w:val="0000FF"/>
        </w:rPr>
        <w:fldChar w:fldCharType="separate"/>
      </w:r>
      <w:r>
        <w:rPr>
          <w:noProof/>
          <w:color w:val="0000FF"/>
        </w:rPr>
        <w:fldChar w:fldCharType="begin"/>
      </w:r>
      <w:r>
        <w:rPr>
          <w:noProof/>
          <w:color w:val="0000FF"/>
        </w:rPr>
        <w:instrText xml:space="preserve"> </w:instrText>
      </w:r>
      <w:r>
        <w:rPr>
          <w:noProof/>
          <w:color w:val="0000FF"/>
        </w:rPr>
        <w:instrText>INCLUDEPICTURE  \d "http://upload.wikimedia.org/wikipedia/commons/thumb/b/bf/Coat_of_arms_of_Brazil.svg/120px-Coat_of_arms_of_Brazil.svg.png" \* MERGEFORMATINET</w:instrText>
      </w:r>
      <w:r>
        <w:rPr>
          <w:noProof/>
          <w:color w:val="0000FF"/>
        </w:rPr>
        <w:instrText xml:space="preserve"> </w:instrText>
      </w:r>
      <w:r>
        <w:rPr>
          <w:noProof/>
          <w:color w:val="0000FF"/>
        </w:rPr>
        <w:fldChar w:fldCharType="separate"/>
      </w:r>
      <w:r w:rsidR="00C122AC">
        <w:rPr>
          <w:noProof/>
          <w:color w:val="0000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niatura da versão das 14h24min de 24 de junho de 2006" style="width:66.7pt;height:66.7pt;visibility:visible">
            <v:imagedata r:id="rId2"/>
          </v:shape>
        </w:pict>
      </w:r>
      <w:r>
        <w:rPr>
          <w:noProof/>
          <w:color w:val="0000FF"/>
        </w:rPr>
        <w:fldChar w:fldCharType="end"/>
      </w:r>
      <w:r w:rsidR="009A37AE">
        <w:rPr>
          <w:noProof/>
          <w:color w:val="0000FF"/>
        </w:rPr>
        <w:fldChar w:fldCharType="end"/>
      </w:r>
      <w:r w:rsidR="00E576AA">
        <w:rPr>
          <w:noProof/>
          <w:color w:val="0000FF"/>
        </w:rPr>
        <w:fldChar w:fldCharType="end"/>
      </w:r>
      <w:r w:rsidR="0009456D">
        <w:rPr>
          <w:noProof/>
          <w:color w:val="0000FF"/>
        </w:rPr>
        <w:fldChar w:fldCharType="end"/>
      </w:r>
    </w:hyperlink>
  </w:p>
  <w:p w:rsidR="00EB5257" w:rsidRPr="004F0C57" w:rsidRDefault="00EB5257" w:rsidP="00EB5257">
    <w:pPr>
      <w:pStyle w:val="Cabealho"/>
      <w:jc w:val="center"/>
    </w:pPr>
    <w:r w:rsidRPr="004F0C57">
      <w:t>CONSELHO FEDERAL DE NUTRICIONISTAS</w:t>
    </w:r>
  </w:p>
  <w:p w:rsidR="00EB5257" w:rsidRPr="004F0C57" w:rsidRDefault="00EB5257" w:rsidP="00EB5257">
    <w:pPr>
      <w:pStyle w:val="Cabealho"/>
      <w:jc w:val="center"/>
      <w:rPr>
        <w:b/>
      </w:rPr>
    </w:pPr>
    <w:r w:rsidRPr="004F0C57">
      <w:rPr>
        <w:b/>
      </w:rPr>
      <w:t>CONSELHO REGIONAL DE NUTRICIONISTAS - 2ª REGIÃO</w:t>
    </w:r>
  </w:p>
  <w:p w:rsidR="00EB5257" w:rsidRDefault="00EB525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00CA"/>
    <w:multiLevelType w:val="hybridMultilevel"/>
    <w:tmpl w:val="DCA64B74"/>
    <w:lvl w:ilvl="0" w:tplc="EDE04F94">
      <w:start w:val="1"/>
      <w:numFmt w:val="upperRoman"/>
      <w:lvlText w:val="%1."/>
      <w:lvlJc w:val="left"/>
      <w:pPr>
        <w:ind w:left="3549" w:hanging="655"/>
      </w:pPr>
      <w:rPr>
        <w:rFonts w:ascii="Arial" w:eastAsia="Arial" w:hAnsi="Arial" w:cs="Arial" w:hint="default"/>
        <w:spacing w:val="-5"/>
        <w:w w:val="100"/>
        <w:sz w:val="24"/>
        <w:szCs w:val="24"/>
        <w:lang w:val="pt-PT" w:eastAsia="en-US" w:bidi="ar-SA"/>
      </w:rPr>
    </w:lvl>
    <w:lvl w:ilvl="1" w:tplc="35F2EDA2">
      <w:numFmt w:val="bullet"/>
      <w:lvlText w:val="•"/>
      <w:lvlJc w:val="left"/>
      <w:pPr>
        <w:ind w:left="4076" w:hanging="655"/>
      </w:pPr>
      <w:rPr>
        <w:rFonts w:hint="default"/>
        <w:lang w:val="pt-PT" w:eastAsia="en-US" w:bidi="ar-SA"/>
      </w:rPr>
    </w:lvl>
    <w:lvl w:ilvl="2" w:tplc="0652F98E">
      <w:numFmt w:val="bullet"/>
      <w:lvlText w:val="•"/>
      <w:lvlJc w:val="left"/>
      <w:pPr>
        <w:ind w:left="4612" w:hanging="655"/>
      </w:pPr>
      <w:rPr>
        <w:rFonts w:hint="default"/>
        <w:lang w:val="pt-PT" w:eastAsia="en-US" w:bidi="ar-SA"/>
      </w:rPr>
    </w:lvl>
    <w:lvl w:ilvl="3" w:tplc="72D49C02">
      <w:numFmt w:val="bullet"/>
      <w:lvlText w:val="•"/>
      <w:lvlJc w:val="left"/>
      <w:pPr>
        <w:ind w:left="5148" w:hanging="655"/>
      </w:pPr>
      <w:rPr>
        <w:rFonts w:hint="default"/>
        <w:lang w:val="pt-PT" w:eastAsia="en-US" w:bidi="ar-SA"/>
      </w:rPr>
    </w:lvl>
    <w:lvl w:ilvl="4" w:tplc="A71C8B40">
      <w:numFmt w:val="bullet"/>
      <w:lvlText w:val="•"/>
      <w:lvlJc w:val="left"/>
      <w:pPr>
        <w:ind w:left="5684" w:hanging="655"/>
      </w:pPr>
      <w:rPr>
        <w:rFonts w:hint="default"/>
        <w:lang w:val="pt-PT" w:eastAsia="en-US" w:bidi="ar-SA"/>
      </w:rPr>
    </w:lvl>
    <w:lvl w:ilvl="5" w:tplc="7B887B8C">
      <w:numFmt w:val="bullet"/>
      <w:lvlText w:val="•"/>
      <w:lvlJc w:val="left"/>
      <w:pPr>
        <w:ind w:left="6220" w:hanging="655"/>
      </w:pPr>
      <w:rPr>
        <w:rFonts w:hint="default"/>
        <w:lang w:val="pt-PT" w:eastAsia="en-US" w:bidi="ar-SA"/>
      </w:rPr>
    </w:lvl>
    <w:lvl w:ilvl="6" w:tplc="2D5CAC1A">
      <w:numFmt w:val="bullet"/>
      <w:lvlText w:val="•"/>
      <w:lvlJc w:val="left"/>
      <w:pPr>
        <w:ind w:left="6756" w:hanging="655"/>
      </w:pPr>
      <w:rPr>
        <w:rFonts w:hint="default"/>
        <w:lang w:val="pt-PT" w:eastAsia="en-US" w:bidi="ar-SA"/>
      </w:rPr>
    </w:lvl>
    <w:lvl w:ilvl="7" w:tplc="DE48F8A0">
      <w:numFmt w:val="bullet"/>
      <w:lvlText w:val="•"/>
      <w:lvlJc w:val="left"/>
      <w:pPr>
        <w:ind w:left="7292" w:hanging="655"/>
      </w:pPr>
      <w:rPr>
        <w:rFonts w:hint="default"/>
        <w:lang w:val="pt-PT" w:eastAsia="en-US" w:bidi="ar-SA"/>
      </w:rPr>
    </w:lvl>
    <w:lvl w:ilvl="8" w:tplc="92E4CBF6">
      <w:numFmt w:val="bullet"/>
      <w:lvlText w:val="•"/>
      <w:lvlJc w:val="left"/>
      <w:pPr>
        <w:ind w:left="7828" w:hanging="655"/>
      </w:pPr>
      <w:rPr>
        <w:rFonts w:hint="default"/>
        <w:lang w:val="pt-PT" w:eastAsia="en-US" w:bidi="ar-SA"/>
      </w:rPr>
    </w:lvl>
  </w:abstractNum>
  <w:abstractNum w:abstractNumId="1" w15:restartNumberingAfterBreak="0">
    <w:nsid w:val="16B84A7D"/>
    <w:multiLevelType w:val="hybridMultilevel"/>
    <w:tmpl w:val="E0CA265C"/>
    <w:lvl w:ilvl="0" w:tplc="EC52B720">
      <w:start w:val="1"/>
      <w:numFmt w:val="upperRoman"/>
      <w:lvlText w:val="%1."/>
      <w:lvlJc w:val="left"/>
      <w:pPr>
        <w:ind w:left="315" w:hanging="216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1" w:tplc="ED44E7E0">
      <w:numFmt w:val="bullet"/>
      <w:lvlText w:val="•"/>
      <w:lvlJc w:val="left"/>
      <w:pPr>
        <w:ind w:left="1178" w:hanging="216"/>
      </w:pPr>
      <w:rPr>
        <w:rFonts w:hint="default"/>
        <w:lang w:val="pt-PT" w:eastAsia="en-US" w:bidi="ar-SA"/>
      </w:rPr>
    </w:lvl>
    <w:lvl w:ilvl="2" w:tplc="16E844C2">
      <w:numFmt w:val="bullet"/>
      <w:lvlText w:val="•"/>
      <w:lvlJc w:val="left"/>
      <w:pPr>
        <w:ind w:left="2036" w:hanging="216"/>
      </w:pPr>
      <w:rPr>
        <w:rFonts w:hint="default"/>
        <w:lang w:val="pt-PT" w:eastAsia="en-US" w:bidi="ar-SA"/>
      </w:rPr>
    </w:lvl>
    <w:lvl w:ilvl="3" w:tplc="343680D2">
      <w:numFmt w:val="bullet"/>
      <w:lvlText w:val="•"/>
      <w:lvlJc w:val="left"/>
      <w:pPr>
        <w:ind w:left="2894" w:hanging="216"/>
      </w:pPr>
      <w:rPr>
        <w:rFonts w:hint="default"/>
        <w:lang w:val="pt-PT" w:eastAsia="en-US" w:bidi="ar-SA"/>
      </w:rPr>
    </w:lvl>
    <w:lvl w:ilvl="4" w:tplc="5FEE8D6E">
      <w:numFmt w:val="bullet"/>
      <w:lvlText w:val="•"/>
      <w:lvlJc w:val="left"/>
      <w:pPr>
        <w:ind w:left="3752" w:hanging="216"/>
      </w:pPr>
      <w:rPr>
        <w:rFonts w:hint="default"/>
        <w:lang w:val="pt-PT" w:eastAsia="en-US" w:bidi="ar-SA"/>
      </w:rPr>
    </w:lvl>
    <w:lvl w:ilvl="5" w:tplc="5EE0326A">
      <w:numFmt w:val="bullet"/>
      <w:lvlText w:val="•"/>
      <w:lvlJc w:val="left"/>
      <w:pPr>
        <w:ind w:left="4610" w:hanging="216"/>
      </w:pPr>
      <w:rPr>
        <w:rFonts w:hint="default"/>
        <w:lang w:val="pt-PT" w:eastAsia="en-US" w:bidi="ar-SA"/>
      </w:rPr>
    </w:lvl>
    <w:lvl w:ilvl="6" w:tplc="91D05396">
      <w:numFmt w:val="bullet"/>
      <w:lvlText w:val="•"/>
      <w:lvlJc w:val="left"/>
      <w:pPr>
        <w:ind w:left="5468" w:hanging="216"/>
      </w:pPr>
      <w:rPr>
        <w:rFonts w:hint="default"/>
        <w:lang w:val="pt-PT" w:eastAsia="en-US" w:bidi="ar-SA"/>
      </w:rPr>
    </w:lvl>
    <w:lvl w:ilvl="7" w:tplc="14BA808E">
      <w:numFmt w:val="bullet"/>
      <w:lvlText w:val="•"/>
      <w:lvlJc w:val="left"/>
      <w:pPr>
        <w:ind w:left="6326" w:hanging="216"/>
      </w:pPr>
      <w:rPr>
        <w:rFonts w:hint="default"/>
        <w:lang w:val="pt-PT" w:eastAsia="en-US" w:bidi="ar-SA"/>
      </w:rPr>
    </w:lvl>
    <w:lvl w:ilvl="8" w:tplc="6CE8630C">
      <w:numFmt w:val="bullet"/>
      <w:lvlText w:val="•"/>
      <w:lvlJc w:val="left"/>
      <w:pPr>
        <w:ind w:left="7184" w:hanging="216"/>
      </w:pPr>
      <w:rPr>
        <w:rFonts w:hint="default"/>
        <w:lang w:val="pt-PT" w:eastAsia="en-US" w:bidi="ar-SA"/>
      </w:rPr>
    </w:lvl>
  </w:abstractNum>
  <w:abstractNum w:abstractNumId="2" w15:restartNumberingAfterBreak="0">
    <w:nsid w:val="181C1341"/>
    <w:multiLevelType w:val="hybridMultilevel"/>
    <w:tmpl w:val="ADC4BE50"/>
    <w:lvl w:ilvl="0" w:tplc="A266BEFE">
      <w:start w:val="1"/>
      <w:numFmt w:val="upperRoman"/>
      <w:lvlText w:val="%1."/>
      <w:lvlJc w:val="left"/>
      <w:pPr>
        <w:ind w:left="315" w:hanging="291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1" w:tplc="88FC938C">
      <w:numFmt w:val="bullet"/>
      <w:lvlText w:val="•"/>
      <w:lvlJc w:val="left"/>
      <w:pPr>
        <w:ind w:left="1178" w:hanging="291"/>
      </w:pPr>
      <w:rPr>
        <w:rFonts w:hint="default"/>
        <w:lang w:val="pt-PT" w:eastAsia="en-US" w:bidi="ar-SA"/>
      </w:rPr>
    </w:lvl>
    <w:lvl w:ilvl="2" w:tplc="C5804E4E">
      <w:numFmt w:val="bullet"/>
      <w:lvlText w:val="•"/>
      <w:lvlJc w:val="left"/>
      <w:pPr>
        <w:ind w:left="2036" w:hanging="291"/>
      </w:pPr>
      <w:rPr>
        <w:rFonts w:hint="default"/>
        <w:lang w:val="pt-PT" w:eastAsia="en-US" w:bidi="ar-SA"/>
      </w:rPr>
    </w:lvl>
    <w:lvl w:ilvl="3" w:tplc="82AEE97A">
      <w:numFmt w:val="bullet"/>
      <w:lvlText w:val="•"/>
      <w:lvlJc w:val="left"/>
      <w:pPr>
        <w:ind w:left="2894" w:hanging="291"/>
      </w:pPr>
      <w:rPr>
        <w:rFonts w:hint="default"/>
        <w:lang w:val="pt-PT" w:eastAsia="en-US" w:bidi="ar-SA"/>
      </w:rPr>
    </w:lvl>
    <w:lvl w:ilvl="4" w:tplc="AAE0C116">
      <w:numFmt w:val="bullet"/>
      <w:lvlText w:val="•"/>
      <w:lvlJc w:val="left"/>
      <w:pPr>
        <w:ind w:left="3752" w:hanging="291"/>
      </w:pPr>
      <w:rPr>
        <w:rFonts w:hint="default"/>
        <w:lang w:val="pt-PT" w:eastAsia="en-US" w:bidi="ar-SA"/>
      </w:rPr>
    </w:lvl>
    <w:lvl w:ilvl="5" w:tplc="2006E89A">
      <w:numFmt w:val="bullet"/>
      <w:lvlText w:val="•"/>
      <w:lvlJc w:val="left"/>
      <w:pPr>
        <w:ind w:left="4610" w:hanging="291"/>
      </w:pPr>
      <w:rPr>
        <w:rFonts w:hint="default"/>
        <w:lang w:val="pt-PT" w:eastAsia="en-US" w:bidi="ar-SA"/>
      </w:rPr>
    </w:lvl>
    <w:lvl w:ilvl="6" w:tplc="0FDE111E">
      <w:numFmt w:val="bullet"/>
      <w:lvlText w:val="•"/>
      <w:lvlJc w:val="left"/>
      <w:pPr>
        <w:ind w:left="5468" w:hanging="291"/>
      </w:pPr>
      <w:rPr>
        <w:rFonts w:hint="default"/>
        <w:lang w:val="pt-PT" w:eastAsia="en-US" w:bidi="ar-SA"/>
      </w:rPr>
    </w:lvl>
    <w:lvl w:ilvl="7" w:tplc="0B40D454">
      <w:numFmt w:val="bullet"/>
      <w:lvlText w:val="•"/>
      <w:lvlJc w:val="left"/>
      <w:pPr>
        <w:ind w:left="6326" w:hanging="291"/>
      </w:pPr>
      <w:rPr>
        <w:rFonts w:hint="default"/>
        <w:lang w:val="pt-PT" w:eastAsia="en-US" w:bidi="ar-SA"/>
      </w:rPr>
    </w:lvl>
    <w:lvl w:ilvl="8" w:tplc="5AF02CC6">
      <w:numFmt w:val="bullet"/>
      <w:lvlText w:val="•"/>
      <w:lvlJc w:val="left"/>
      <w:pPr>
        <w:ind w:left="7184" w:hanging="291"/>
      </w:pPr>
      <w:rPr>
        <w:rFonts w:hint="default"/>
        <w:lang w:val="pt-PT" w:eastAsia="en-US" w:bidi="ar-SA"/>
      </w:rPr>
    </w:lvl>
  </w:abstractNum>
  <w:abstractNum w:abstractNumId="3" w15:restartNumberingAfterBreak="0">
    <w:nsid w:val="1BEF56A8"/>
    <w:multiLevelType w:val="hybridMultilevel"/>
    <w:tmpl w:val="4E9060E4"/>
    <w:lvl w:ilvl="0" w:tplc="6B5E663A">
      <w:start w:val="1"/>
      <w:numFmt w:val="lowerLetter"/>
      <w:lvlText w:val="%1."/>
      <w:lvlJc w:val="left"/>
      <w:pPr>
        <w:ind w:left="315" w:hanging="282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1" w:tplc="46129082">
      <w:numFmt w:val="bullet"/>
      <w:lvlText w:val="•"/>
      <w:lvlJc w:val="left"/>
      <w:pPr>
        <w:ind w:left="1178" w:hanging="282"/>
      </w:pPr>
      <w:rPr>
        <w:rFonts w:hint="default"/>
        <w:lang w:val="pt-PT" w:eastAsia="en-US" w:bidi="ar-SA"/>
      </w:rPr>
    </w:lvl>
    <w:lvl w:ilvl="2" w:tplc="3B361222">
      <w:numFmt w:val="bullet"/>
      <w:lvlText w:val="•"/>
      <w:lvlJc w:val="left"/>
      <w:pPr>
        <w:ind w:left="2036" w:hanging="282"/>
      </w:pPr>
      <w:rPr>
        <w:rFonts w:hint="default"/>
        <w:lang w:val="pt-PT" w:eastAsia="en-US" w:bidi="ar-SA"/>
      </w:rPr>
    </w:lvl>
    <w:lvl w:ilvl="3" w:tplc="0BA287D2">
      <w:numFmt w:val="bullet"/>
      <w:lvlText w:val="•"/>
      <w:lvlJc w:val="left"/>
      <w:pPr>
        <w:ind w:left="2894" w:hanging="282"/>
      </w:pPr>
      <w:rPr>
        <w:rFonts w:hint="default"/>
        <w:lang w:val="pt-PT" w:eastAsia="en-US" w:bidi="ar-SA"/>
      </w:rPr>
    </w:lvl>
    <w:lvl w:ilvl="4" w:tplc="043A9FA2">
      <w:numFmt w:val="bullet"/>
      <w:lvlText w:val="•"/>
      <w:lvlJc w:val="left"/>
      <w:pPr>
        <w:ind w:left="3752" w:hanging="282"/>
      </w:pPr>
      <w:rPr>
        <w:rFonts w:hint="default"/>
        <w:lang w:val="pt-PT" w:eastAsia="en-US" w:bidi="ar-SA"/>
      </w:rPr>
    </w:lvl>
    <w:lvl w:ilvl="5" w:tplc="974CD4AE">
      <w:numFmt w:val="bullet"/>
      <w:lvlText w:val="•"/>
      <w:lvlJc w:val="left"/>
      <w:pPr>
        <w:ind w:left="4610" w:hanging="282"/>
      </w:pPr>
      <w:rPr>
        <w:rFonts w:hint="default"/>
        <w:lang w:val="pt-PT" w:eastAsia="en-US" w:bidi="ar-SA"/>
      </w:rPr>
    </w:lvl>
    <w:lvl w:ilvl="6" w:tplc="9D2E9BD8">
      <w:numFmt w:val="bullet"/>
      <w:lvlText w:val="•"/>
      <w:lvlJc w:val="left"/>
      <w:pPr>
        <w:ind w:left="5468" w:hanging="282"/>
      </w:pPr>
      <w:rPr>
        <w:rFonts w:hint="default"/>
        <w:lang w:val="pt-PT" w:eastAsia="en-US" w:bidi="ar-SA"/>
      </w:rPr>
    </w:lvl>
    <w:lvl w:ilvl="7" w:tplc="3516D35C">
      <w:numFmt w:val="bullet"/>
      <w:lvlText w:val="•"/>
      <w:lvlJc w:val="left"/>
      <w:pPr>
        <w:ind w:left="6326" w:hanging="282"/>
      </w:pPr>
      <w:rPr>
        <w:rFonts w:hint="default"/>
        <w:lang w:val="pt-PT" w:eastAsia="en-US" w:bidi="ar-SA"/>
      </w:rPr>
    </w:lvl>
    <w:lvl w:ilvl="8" w:tplc="F04C5442">
      <w:numFmt w:val="bullet"/>
      <w:lvlText w:val="•"/>
      <w:lvlJc w:val="left"/>
      <w:pPr>
        <w:ind w:left="7184" w:hanging="282"/>
      </w:pPr>
      <w:rPr>
        <w:rFonts w:hint="default"/>
        <w:lang w:val="pt-PT" w:eastAsia="en-US" w:bidi="ar-SA"/>
      </w:rPr>
    </w:lvl>
  </w:abstractNum>
  <w:abstractNum w:abstractNumId="4" w15:restartNumberingAfterBreak="0">
    <w:nsid w:val="5F3D7091"/>
    <w:multiLevelType w:val="hybridMultilevel"/>
    <w:tmpl w:val="976EC2F4"/>
    <w:lvl w:ilvl="0" w:tplc="B3403D8A">
      <w:start w:val="1"/>
      <w:numFmt w:val="upperRoman"/>
      <w:lvlText w:val="%1."/>
      <w:lvlJc w:val="left"/>
      <w:pPr>
        <w:ind w:left="315" w:hanging="336"/>
      </w:pPr>
      <w:rPr>
        <w:rFonts w:ascii="Arial" w:eastAsia="Arial" w:hAnsi="Arial" w:cs="Arial" w:hint="default"/>
        <w:spacing w:val="-29"/>
        <w:w w:val="100"/>
        <w:sz w:val="24"/>
        <w:szCs w:val="24"/>
        <w:lang w:val="pt-PT" w:eastAsia="en-US" w:bidi="ar-SA"/>
      </w:rPr>
    </w:lvl>
    <w:lvl w:ilvl="1" w:tplc="69ECF096">
      <w:numFmt w:val="bullet"/>
      <w:lvlText w:val="•"/>
      <w:lvlJc w:val="left"/>
      <w:pPr>
        <w:ind w:left="1178" w:hanging="336"/>
      </w:pPr>
      <w:rPr>
        <w:rFonts w:hint="default"/>
        <w:lang w:val="pt-PT" w:eastAsia="en-US" w:bidi="ar-SA"/>
      </w:rPr>
    </w:lvl>
    <w:lvl w:ilvl="2" w:tplc="68C82488">
      <w:numFmt w:val="bullet"/>
      <w:lvlText w:val="•"/>
      <w:lvlJc w:val="left"/>
      <w:pPr>
        <w:ind w:left="2036" w:hanging="336"/>
      </w:pPr>
      <w:rPr>
        <w:rFonts w:hint="default"/>
        <w:lang w:val="pt-PT" w:eastAsia="en-US" w:bidi="ar-SA"/>
      </w:rPr>
    </w:lvl>
    <w:lvl w:ilvl="3" w:tplc="CACA1B0E">
      <w:numFmt w:val="bullet"/>
      <w:lvlText w:val="•"/>
      <w:lvlJc w:val="left"/>
      <w:pPr>
        <w:ind w:left="2894" w:hanging="336"/>
      </w:pPr>
      <w:rPr>
        <w:rFonts w:hint="default"/>
        <w:lang w:val="pt-PT" w:eastAsia="en-US" w:bidi="ar-SA"/>
      </w:rPr>
    </w:lvl>
    <w:lvl w:ilvl="4" w:tplc="420E6E8A">
      <w:numFmt w:val="bullet"/>
      <w:lvlText w:val="•"/>
      <w:lvlJc w:val="left"/>
      <w:pPr>
        <w:ind w:left="3752" w:hanging="336"/>
      </w:pPr>
      <w:rPr>
        <w:rFonts w:hint="default"/>
        <w:lang w:val="pt-PT" w:eastAsia="en-US" w:bidi="ar-SA"/>
      </w:rPr>
    </w:lvl>
    <w:lvl w:ilvl="5" w:tplc="088079BE">
      <w:numFmt w:val="bullet"/>
      <w:lvlText w:val="•"/>
      <w:lvlJc w:val="left"/>
      <w:pPr>
        <w:ind w:left="4610" w:hanging="336"/>
      </w:pPr>
      <w:rPr>
        <w:rFonts w:hint="default"/>
        <w:lang w:val="pt-PT" w:eastAsia="en-US" w:bidi="ar-SA"/>
      </w:rPr>
    </w:lvl>
    <w:lvl w:ilvl="6" w:tplc="E77C0670">
      <w:numFmt w:val="bullet"/>
      <w:lvlText w:val="•"/>
      <w:lvlJc w:val="left"/>
      <w:pPr>
        <w:ind w:left="5468" w:hanging="336"/>
      </w:pPr>
      <w:rPr>
        <w:rFonts w:hint="default"/>
        <w:lang w:val="pt-PT" w:eastAsia="en-US" w:bidi="ar-SA"/>
      </w:rPr>
    </w:lvl>
    <w:lvl w:ilvl="7" w:tplc="5EA8D10C">
      <w:numFmt w:val="bullet"/>
      <w:lvlText w:val="•"/>
      <w:lvlJc w:val="left"/>
      <w:pPr>
        <w:ind w:left="6326" w:hanging="336"/>
      </w:pPr>
      <w:rPr>
        <w:rFonts w:hint="default"/>
        <w:lang w:val="pt-PT" w:eastAsia="en-US" w:bidi="ar-SA"/>
      </w:rPr>
    </w:lvl>
    <w:lvl w:ilvl="8" w:tplc="39A4C194">
      <w:numFmt w:val="bullet"/>
      <w:lvlText w:val="•"/>
      <w:lvlJc w:val="left"/>
      <w:pPr>
        <w:ind w:left="7184" w:hanging="336"/>
      </w:pPr>
      <w:rPr>
        <w:rFonts w:hint="default"/>
        <w:lang w:val="pt-PT" w:eastAsia="en-US" w:bidi="ar-SA"/>
      </w:rPr>
    </w:lvl>
  </w:abstractNum>
  <w:abstractNum w:abstractNumId="5" w15:restartNumberingAfterBreak="0">
    <w:nsid w:val="6CD32C15"/>
    <w:multiLevelType w:val="hybridMultilevel"/>
    <w:tmpl w:val="CC3E0964"/>
    <w:lvl w:ilvl="0" w:tplc="B73C0E76">
      <w:start w:val="1"/>
      <w:numFmt w:val="lowerLetter"/>
      <w:lvlText w:val="%1."/>
      <w:lvlJc w:val="left"/>
      <w:pPr>
        <w:ind w:left="315" w:hanging="327"/>
      </w:pPr>
      <w:rPr>
        <w:rFonts w:ascii="Arial" w:eastAsia="Arial" w:hAnsi="Arial" w:cs="Arial" w:hint="default"/>
        <w:spacing w:val="-22"/>
        <w:w w:val="100"/>
        <w:sz w:val="24"/>
        <w:szCs w:val="24"/>
        <w:lang w:val="pt-PT" w:eastAsia="en-US" w:bidi="ar-SA"/>
      </w:rPr>
    </w:lvl>
    <w:lvl w:ilvl="1" w:tplc="35382C34">
      <w:numFmt w:val="bullet"/>
      <w:lvlText w:val="•"/>
      <w:lvlJc w:val="left"/>
      <w:pPr>
        <w:ind w:left="1178" w:hanging="327"/>
      </w:pPr>
      <w:rPr>
        <w:rFonts w:hint="default"/>
        <w:lang w:val="pt-PT" w:eastAsia="en-US" w:bidi="ar-SA"/>
      </w:rPr>
    </w:lvl>
    <w:lvl w:ilvl="2" w:tplc="4BA0C404">
      <w:numFmt w:val="bullet"/>
      <w:lvlText w:val="•"/>
      <w:lvlJc w:val="left"/>
      <w:pPr>
        <w:ind w:left="2036" w:hanging="327"/>
      </w:pPr>
      <w:rPr>
        <w:rFonts w:hint="default"/>
        <w:lang w:val="pt-PT" w:eastAsia="en-US" w:bidi="ar-SA"/>
      </w:rPr>
    </w:lvl>
    <w:lvl w:ilvl="3" w:tplc="7B6C7926">
      <w:numFmt w:val="bullet"/>
      <w:lvlText w:val="•"/>
      <w:lvlJc w:val="left"/>
      <w:pPr>
        <w:ind w:left="2894" w:hanging="327"/>
      </w:pPr>
      <w:rPr>
        <w:rFonts w:hint="default"/>
        <w:lang w:val="pt-PT" w:eastAsia="en-US" w:bidi="ar-SA"/>
      </w:rPr>
    </w:lvl>
    <w:lvl w:ilvl="4" w:tplc="350A312A">
      <w:numFmt w:val="bullet"/>
      <w:lvlText w:val="•"/>
      <w:lvlJc w:val="left"/>
      <w:pPr>
        <w:ind w:left="3752" w:hanging="327"/>
      </w:pPr>
      <w:rPr>
        <w:rFonts w:hint="default"/>
        <w:lang w:val="pt-PT" w:eastAsia="en-US" w:bidi="ar-SA"/>
      </w:rPr>
    </w:lvl>
    <w:lvl w:ilvl="5" w:tplc="8F341EF8">
      <w:numFmt w:val="bullet"/>
      <w:lvlText w:val="•"/>
      <w:lvlJc w:val="left"/>
      <w:pPr>
        <w:ind w:left="4610" w:hanging="327"/>
      </w:pPr>
      <w:rPr>
        <w:rFonts w:hint="default"/>
        <w:lang w:val="pt-PT" w:eastAsia="en-US" w:bidi="ar-SA"/>
      </w:rPr>
    </w:lvl>
    <w:lvl w:ilvl="6" w:tplc="508C6B84">
      <w:numFmt w:val="bullet"/>
      <w:lvlText w:val="•"/>
      <w:lvlJc w:val="left"/>
      <w:pPr>
        <w:ind w:left="5468" w:hanging="327"/>
      </w:pPr>
      <w:rPr>
        <w:rFonts w:hint="default"/>
        <w:lang w:val="pt-PT" w:eastAsia="en-US" w:bidi="ar-SA"/>
      </w:rPr>
    </w:lvl>
    <w:lvl w:ilvl="7" w:tplc="13A8717E">
      <w:numFmt w:val="bullet"/>
      <w:lvlText w:val="•"/>
      <w:lvlJc w:val="left"/>
      <w:pPr>
        <w:ind w:left="6326" w:hanging="327"/>
      </w:pPr>
      <w:rPr>
        <w:rFonts w:hint="default"/>
        <w:lang w:val="pt-PT" w:eastAsia="en-US" w:bidi="ar-SA"/>
      </w:rPr>
    </w:lvl>
    <w:lvl w:ilvl="8" w:tplc="4AF03ACC">
      <w:numFmt w:val="bullet"/>
      <w:lvlText w:val="•"/>
      <w:lvlJc w:val="left"/>
      <w:pPr>
        <w:ind w:left="7184" w:hanging="327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B4A"/>
    <w:rsid w:val="0009456D"/>
    <w:rsid w:val="002A5B4A"/>
    <w:rsid w:val="003306D4"/>
    <w:rsid w:val="009A37AE"/>
    <w:rsid w:val="00C122AC"/>
    <w:rsid w:val="00D712FD"/>
    <w:rsid w:val="00E576AA"/>
    <w:rsid w:val="00EB5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5F68EFAC"/>
  <w15:docId w15:val="{A779A83D-4CD1-41DA-AAAB-CB349C549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99"/>
      <w:ind w:left="315" w:right="113" w:firstLine="184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EB525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B5257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iPriority w:val="99"/>
    <w:unhideWhenUsed/>
    <w:rsid w:val="00EB525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B5257"/>
    <w:rPr>
      <w:rFonts w:ascii="Arial" w:eastAsia="Arial" w:hAnsi="Arial" w:cs="Aria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upload.wikimedia.org/wikipedia/commons/thumb/b/bf/Coat_of_arms_of_Brazil.svg/120px-Coat_of_arms_of_Brazil.svg.png" TargetMode="External"/><Relationship Id="rId1" Type="http://schemas.openxmlformats.org/officeDocument/2006/relationships/hyperlink" Target="http://upload.wikimedia.org/wikipedia/commons/b/bf/Coat_of_arms_of_Brazil.sv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1064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Fiorenza</dc:creator>
  <cp:lastModifiedBy>Janice Mayer de Oliveira</cp:lastModifiedBy>
  <cp:revision>2</cp:revision>
  <dcterms:created xsi:type="dcterms:W3CDTF">2021-09-14T14:53:00Z</dcterms:created>
  <dcterms:modified xsi:type="dcterms:W3CDTF">2021-09-14T14:53:00Z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2021-09-03T00:00:00Z</vt:filetime>
  </property>
  <property fmtid="{D5CDD505-2E9C-101B-9397-08002B2CF9AE}" pid="3" name="Creator">
    <vt:lpwstr>PDFium</vt:lpwstr>
  </property>
  <property fmtid="{D5CDD505-2E9C-101B-9397-08002B2CF9AE}" pid="4" name="LastSaved">
    <vt:filetime>2021-09-03T00:00:00Z</vt:filetime>
  </property>
</Properties>
</file>