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050" w:rsidRPr="00F36050" w:rsidRDefault="00F36050" w:rsidP="00F36050">
      <w:pPr>
        <w:ind w:firstLine="0"/>
        <w:jc w:val="center"/>
        <w:rPr>
          <w:b/>
          <w:snapToGrid w:val="0"/>
          <w:sz w:val="26"/>
          <w:szCs w:val="26"/>
          <w:u w:val="single"/>
        </w:rPr>
      </w:pPr>
      <w:bookmarkStart w:id="0" w:name="_GoBack"/>
      <w:bookmarkEnd w:id="0"/>
      <w:r w:rsidRPr="00F36050">
        <w:rPr>
          <w:b/>
          <w:snapToGrid w:val="0"/>
          <w:sz w:val="26"/>
          <w:szCs w:val="26"/>
          <w:u w:val="single"/>
        </w:rPr>
        <w:t>IMPUGNAÇÃO AO EDITAL</w:t>
      </w:r>
    </w:p>
    <w:p w:rsidR="00F36050" w:rsidRPr="00F36050" w:rsidRDefault="00F36050" w:rsidP="00F36050">
      <w:pPr>
        <w:ind w:firstLine="0"/>
        <w:rPr>
          <w:b/>
          <w:snapToGrid w:val="0"/>
          <w:u w:val="single"/>
        </w:rPr>
      </w:pPr>
    </w:p>
    <w:p w:rsidR="00F36050" w:rsidRPr="00F36050" w:rsidRDefault="00F36050" w:rsidP="00F36050">
      <w:pPr>
        <w:ind w:firstLine="0"/>
        <w:rPr>
          <w:b/>
          <w:snapToGrid w:val="0"/>
        </w:rPr>
      </w:pPr>
    </w:p>
    <w:p w:rsidR="0044204C" w:rsidRPr="005C34A6" w:rsidRDefault="008C3D35" w:rsidP="0044204C">
      <w:pPr>
        <w:snapToGrid/>
        <w:ind w:firstLine="0"/>
        <w:rPr>
          <w:rFonts w:eastAsia="Times New Roman"/>
          <w:b/>
          <w:color w:val="auto"/>
          <w:szCs w:val="24"/>
          <w:lang w:eastAsia="es-ES_tradnl"/>
        </w:rPr>
      </w:pPr>
      <w:r>
        <w:rPr>
          <w:rFonts w:eastAsia="Times New Roman"/>
          <w:b/>
          <w:color w:val="auto"/>
          <w:szCs w:val="24"/>
          <w:lang w:eastAsia="es-ES_tradnl"/>
        </w:rPr>
        <w:t>Pregão Presencial Nº 02/2017 do Conselho Regional de Nutricionistas da 2ª Região</w:t>
      </w:r>
      <w:r>
        <w:rPr>
          <w:b/>
          <w:bCs/>
        </w:rPr>
        <w:t>/RS.</w:t>
      </w:r>
    </w:p>
    <w:p w:rsidR="00F36050" w:rsidRDefault="00F36050" w:rsidP="00F36050">
      <w:pPr>
        <w:ind w:firstLine="0"/>
        <w:rPr>
          <w:b/>
          <w:snapToGrid w:val="0"/>
          <w:u w:val="single"/>
        </w:rPr>
      </w:pPr>
    </w:p>
    <w:p w:rsidR="005C34A6" w:rsidRPr="00F36050" w:rsidRDefault="005C34A6" w:rsidP="00F36050">
      <w:pPr>
        <w:ind w:firstLine="0"/>
        <w:rPr>
          <w:b/>
          <w:snapToGrid w:val="0"/>
          <w:u w:val="single"/>
        </w:rPr>
      </w:pPr>
    </w:p>
    <w:p w:rsidR="00F36050" w:rsidRPr="00F36050" w:rsidRDefault="00F36050" w:rsidP="00F36050">
      <w:pPr>
        <w:ind w:firstLine="0"/>
        <w:rPr>
          <w:b/>
          <w:snapToGrid w:val="0"/>
          <w:u w:val="single"/>
        </w:rPr>
      </w:pPr>
      <w:r w:rsidRPr="00F36050">
        <w:rPr>
          <w:b/>
          <w:snapToGrid w:val="0"/>
          <w:u w:val="single"/>
        </w:rPr>
        <w:t>Impugnante</w:t>
      </w:r>
      <w:r w:rsidRPr="00F36050">
        <w:rPr>
          <w:snapToGrid w:val="0"/>
          <w:u w:val="single"/>
        </w:rPr>
        <w:t xml:space="preserve">: </w:t>
      </w:r>
      <w:r w:rsidRPr="00F36050">
        <w:rPr>
          <w:b/>
          <w:snapToGrid w:val="0"/>
          <w:u w:val="single"/>
        </w:rPr>
        <w:t>Telefônica Brasil S/A.</w:t>
      </w:r>
    </w:p>
    <w:p w:rsidR="00F36050" w:rsidRPr="00F36050" w:rsidRDefault="00F36050" w:rsidP="00F36050">
      <w:pPr>
        <w:ind w:firstLine="0"/>
        <w:rPr>
          <w:b/>
          <w:snapToGrid w:val="0"/>
          <w:u w:val="single"/>
        </w:rPr>
      </w:pPr>
    </w:p>
    <w:p w:rsidR="00F36050" w:rsidRPr="00F36050" w:rsidRDefault="00F36050" w:rsidP="00F36050">
      <w:pPr>
        <w:ind w:firstLine="0"/>
        <w:rPr>
          <w:b/>
          <w:snapToGrid w:val="0"/>
        </w:rPr>
      </w:pPr>
    </w:p>
    <w:p w:rsidR="008C3D35" w:rsidRPr="005C34A6" w:rsidRDefault="00F36050" w:rsidP="008C3D35">
      <w:pPr>
        <w:snapToGrid/>
        <w:ind w:firstLine="0"/>
        <w:rPr>
          <w:rFonts w:eastAsia="Times New Roman"/>
          <w:b/>
          <w:color w:val="auto"/>
          <w:szCs w:val="24"/>
          <w:lang w:eastAsia="es-ES_tradnl"/>
        </w:rPr>
      </w:pPr>
      <w:r w:rsidRPr="00F36050">
        <w:rPr>
          <w:b/>
          <w:snapToGrid w:val="0"/>
        </w:rPr>
        <w:t>Ao (À) Sr.(a) Pregoeiro (a)</w:t>
      </w:r>
      <w:r w:rsidRPr="00F36050">
        <w:rPr>
          <w:b/>
          <w:snapToGrid w:val="0"/>
          <w:color w:val="auto"/>
        </w:rPr>
        <w:t xml:space="preserve"> do(a/) </w:t>
      </w:r>
      <w:r w:rsidR="008C3D35">
        <w:rPr>
          <w:rFonts w:eastAsia="Times New Roman"/>
          <w:b/>
          <w:color w:val="auto"/>
          <w:szCs w:val="24"/>
          <w:lang w:eastAsia="es-ES_tradnl"/>
        </w:rPr>
        <w:t>Conselho Regional de Nutricionistas da 2ª Região</w:t>
      </w:r>
      <w:r w:rsidR="008C3D35">
        <w:rPr>
          <w:b/>
          <w:bCs/>
        </w:rPr>
        <w:t>/RS.</w:t>
      </w:r>
    </w:p>
    <w:p w:rsidR="00647593" w:rsidRPr="005C34A6" w:rsidRDefault="00647593" w:rsidP="00647593">
      <w:pPr>
        <w:snapToGrid/>
        <w:ind w:firstLine="0"/>
        <w:rPr>
          <w:rFonts w:eastAsia="Times New Roman"/>
          <w:b/>
          <w:color w:val="auto"/>
          <w:szCs w:val="24"/>
          <w:lang w:eastAsia="es-ES_tradnl"/>
        </w:rPr>
      </w:pPr>
    </w:p>
    <w:p w:rsidR="00647593" w:rsidRDefault="00647593" w:rsidP="00647593">
      <w:pPr>
        <w:ind w:firstLine="0"/>
        <w:rPr>
          <w:b/>
          <w:snapToGrid w:val="0"/>
          <w:u w:val="single"/>
        </w:rPr>
      </w:pPr>
    </w:p>
    <w:p w:rsidR="005C34A6" w:rsidRPr="005C34A6" w:rsidRDefault="005C34A6" w:rsidP="005C34A6">
      <w:pPr>
        <w:snapToGrid/>
        <w:ind w:firstLine="0"/>
        <w:rPr>
          <w:rFonts w:eastAsia="Times New Roman"/>
          <w:b/>
          <w:color w:val="auto"/>
          <w:szCs w:val="24"/>
          <w:lang w:eastAsia="es-ES_tradnl"/>
        </w:rPr>
      </w:pPr>
    </w:p>
    <w:p w:rsidR="00D97A52" w:rsidRPr="0044204C" w:rsidRDefault="00D97A52" w:rsidP="00D97A52">
      <w:pPr>
        <w:snapToGrid/>
        <w:ind w:firstLine="0"/>
        <w:jc w:val="left"/>
        <w:rPr>
          <w:rFonts w:eastAsia="Times New Roman"/>
          <w:b/>
          <w:color w:val="auto"/>
          <w:szCs w:val="24"/>
          <w:lang w:eastAsia="es-ES_tradnl"/>
        </w:rPr>
      </w:pPr>
    </w:p>
    <w:p w:rsidR="00326D91" w:rsidRPr="0044204C" w:rsidRDefault="00326D91" w:rsidP="00326D91">
      <w:pPr>
        <w:snapToGrid/>
        <w:ind w:firstLine="0"/>
        <w:jc w:val="left"/>
        <w:rPr>
          <w:rFonts w:eastAsia="Times New Roman"/>
          <w:b/>
          <w:color w:val="auto"/>
          <w:szCs w:val="24"/>
          <w:lang w:eastAsia="es-ES_tradnl"/>
        </w:rPr>
      </w:pPr>
    </w:p>
    <w:p w:rsidR="00F82AA6" w:rsidRPr="0044204C" w:rsidRDefault="00F82AA6" w:rsidP="00F82AA6">
      <w:pPr>
        <w:snapToGrid/>
        <w:ind w:firstLine="0"/>
        <w:jc w:val="left"/>
        <w:rPr>
          <w:rFonts w:eastAsia="Times New Roman"/>
          <w:b/>
          <w:color w:val="auto"/>
          <w:szCs w:val="24"/>
          <w:lang w:eastAsia="es-ES_tradnl"/>
        </w:rPr>
      </w:pPr>
    </w:p>
    <w:p w:rsidR="0044204C" w:rsidRPr="0044204C" w:rsidRDefault="0044204C" w:rsidP="0044204C">
      <w:pPr>
        <w:snapToGrid/>
        <w:ind w:firstLine="0"/>
        <w:jc w:val="left"/>
        <w:rPr>
          <w:rFonts w:eastAsia="Times New Roman"/>
          <w:b/>
          <w:color w:val="auto"/>
          <w:szCs w:val="24"/>
          <w:lang w:eastAsia="es-ES_tradnl"/>
        </w:rPr>
      </w:pPr>
    </w:p>
    <w:p w:rsidR="00F36050" w:rsidRPr="00F36050" w:rsidRDefault="00F36050" w:rsidP="00F36050">
      <w:pPr>
        <w:ind w:firstLine="0"/>
        <w:rPr>
          <w:b/>
          <w:snapToGrid w:val="0"/>
          <w:u w:val="single"/>
        </w:rPr>
      </w:pPr>
    </w:p>
    <w:p w:rsidR="00F36050" w:rsidRPr="00F36050" w:rsidRDefault="00F36050" w:rsidP="00F36050">
      <w:pPr>
        <w:ind w:firstLine="0"/>
        <w:rPr>
          <w:snapToGrid w:val="0"/>
        </w:rPr>
      </w:pPr>
    </w:p>
    <w:p w:rsidR="00F36050" w:rsidRPr="00F36050" w:rsidRDefault="00F36050" w:rsidP="00F36050">
      <w:pPr>
        <w:ind w:firstLine="0"/>
        <w:rPr>
          <w:snapToGrid w:val="0"/>
        </w:rPr>
      </w:pPr>
    </w:p>
    <w:p w:rsidR="00F36050" w:rsidRPr="00F36050" w:rsidRDefault="00F36050" w:rsidP="00F36050">
      <w:pPr>
        <w:ind w:firstLine="0"/>
        <w:rPr>
          <w:snapToGrid w:val="0"/>
        </w:rPr>
      </w:pPr>
    </w:p>
    <w:p w:rsidR="00F36050" w:rsidRPr="00F36050" w:rsidRDefault="00F36050" w:rsidP="00F36050">
      <w:pPr>
        <w:tabs>
          <w:tab w:val="left" w:pos="1418"/>
        </w:tabs>
        <w:rPr>
          <w:snapToGrid w:val="0"/>
        </w:rPr>
      </w:pPr>
      <w:r w:rsidRPr="00F36050">
        <w:rPr>
          <w:b/>
          <w:bCs/>
          <w:snapToGrid w:val="0"/>
        </w:rPr>
        <w:t>TELEFÔNICA BRASIL S/A.,</w:t>
      </w:r>
      <w:r w:rsidRPr="00F36050">
        <w:rPr>
          <w:snapToGrid w:val="0"/>
        </w:rPr>
        <w:t xml:space="preserve"> Companhia Aberta, com sede na Avenida Engenheiro Luiz Carlos Berrini, nº. 1376, Bairro Cidade Monções, São Paulo/SP, CEP 04.571-000, inscrita no CNPJ sob o nº. 02.558.157/0001-62, NIRE nº. 35.3.001.5881-4, vem, respeitosamente, perante V. Sa, apresentar </w:t>
      </w:r>
      <w:r w:rsidRPr="00F36050">
        <w:rPr>
          <w:b/>
          <w:snapToGrid w:val="0"/>
          <w:u w:val="single"/>
        </w:rPr>
        <w:t>IMPUGNAÇÃO AO EDITAL</w:t>
      </w:r>
      <w:r w:rsidRPr="00F36050">
        <w:rPr>
          <w:snapToGrid w:val="0"/>
        </w:rPr>
        <w:t xml:space="preserve"> do </w:t>
      </w:r>
      <w:r w:rsidRPr="00F36050">
        <w:rPr>
          <w:snapToGrid w:val="0"/>
          <w:color w:val="auto"/>
        </w:rPr>
        <w:t>PREGÃO</w:t>
      </w:r>
      <w:r w:rsidRPr="00F36050">
        <w:rPr>
          <w:snapToGrid w:val="0"/>
          <w:color w:val="FF0000"/>
        </w:rPr>
        <w:t xml:space="preserve"> </w:t>
      </w:r>
      <w:r w:rsidRPr="00F36050">
        <w:rPr>
          <w:snapToGrid w:val="0"/>
        </w:rPr>
        <w:t>em epígrafe, com sustentação no §2° do artigo 41 da Lei Federal n.º 8.666/1993, pelos fundamentos demonstrados nesta peça.</w:t>
      </w:r>
    </w:p>
    <w:p w:rsidR="00F36050" w:rsidRPr="00F36050" w:rsidRDefault="00F36050" w:rsidP="00F36050">
      <w:pPr>
        <w:rPr>
          <w:snapToGrid w:val="0"/>
        </w:rPr>
      </w:pPr>
    </w:p>
    <w:p w:rsidR="00F36050" w:rsidRPr="00F36050" w:rsidRDefault="00F36050" w:rsidP="00F36050">
      <w:pPr>
        <w:spacing w:before="120" w:after="120"/>
        <w:ind w:firstLine="0"/>
        <w:outlineLvl w:val="0"/>
        <w:rPr>
          <w:b/>
          <w:bCs/>
          <w:color w:val="auto"/>
          <w:kern w:val="28"/>
          <w:szCs w:val="24"/>
          <w:u w:val="single"/>
          <w:lang w:eastAsia="ar-SA"/>
        </w:rPr>
      </w:pPr>
      <w:r w:rsidRPr="00F36050">
        <w:rPr>
          <w:b/>
          <w:bCs/>
          <w:color w:val="auto"/>
          <w:kern w:val="28"/>
          <w:szCs w:val="24"/>
          <w:u w:val="single"/>
          <w:lang w:eastAsia="ar-SA"/>
        </w:rPr>
        <w:t>I - TEMPESTIVIDADE.</w:t>
      </w:r>
    </w:p>
    <w:p w:rsidR="00F36050" w:rsidRPr="00F36050" w:rsidRDefault="00F36050" w:rsidP="00F36050">
      <w:pPr>
        <w:rPr>
          <w:snapToGrid w:val="0"/>
        </w:rPr>
      </w:pPr>
    </w:p>
    <w:p w:rsidR="00647593" w:rsidRPr="00C323C4" w:rsidRDefault="00F36050" w:rsidP="00FD384B">
      <w:pPr>
        <w:rPr>
          <w:snapToGrid w:val="0"/>
          <w:color w:val="auto"/>
          <w:szCs w:val="24"/>
          <w:lang w:eastAsia="en-US"/>
        </w:rPr>
      </w:pPr>
      <w:r w:rsidRPr="003B3E8F">
        <w:rPr>
          <w:snapToGrid w:val="0"/>
          <w:color w:val="auto"/>
          <w:szCs w:val="22"/>
          <w:lang w:eastAsia="en-US"/>
        </w:rPr>
        <w:t>Inicialmente, comprova-se a tempestividade desta impugnação, dado que a sess</w:t>
      </w:r>
      <w:r w:rsidR="00441003" w:rsidRPr="003B3E8F">
        <w:rPr>
          <w:snapToGrid w:val="0"/>
          <w:color w:val="auto"/>
          <w:szCs w:val="22"/>
          <w:lang w:eastAsia="en-US"/>
        </w:rPr>
        <w:t xml:space="preserve">ão </w:t>
      </w:r>
      <w:r w:rsidR="001A5421">
        <w:rPr>
          <w:snapToGrid w:val="0"/>
          <w:color w:val="auto"/>
          <w:szCs w:val="22"/>
          <w:lang w:eastAsia="en-US"/>
        </w:rPr>
        <w:t>pública está prevista para 25</w:t>
      </w:r>
      <w:r w:rsidR="00FD4928">
        <w:rPr>
          <w:snapToGrid w:val="0"/>
          <w:color w:val="auto"/>
          <w:szCs w:val="22"/>
          <w:lang w:eastAsia="en-US"/>
        </w:rPr>
        <w:t>/09</w:t>
      </w:r>
      <w:r w:rsidR="00D05CAC">
        <w:rPr>
          <w:snapToGrid w:val="0"/>
          <w:color w:val="auto"/>
          <w:szCs w:val="22"/>
          <w:lang w:eastAsia="en-US"/>
        </w:rPr>
        <w:t>/2017</w:t>
      </w:r>
      <w:r w:rsidRPr="003B3E8F">
        <w:rPr>
          <w:snapToGrid w:val="0"/>
          <w:color w:val="auto"/>
          <w:szCs w:val="22"/>
          <w:lang w:eastAsia="en-US"/>
        </w:rPr>
        <w:t>, tendo sido, portanto, cumprido o prazo pretérito de 02 (dois) dias úteis previsto no artigo 41, §2.º da Lei Federal n.º 8.666/1993, bem como no</w:t>
      </w:r>
      <w:r w:rsidRPr="003B3E8F">
        <w:rPr>
          <w:bCs/>
          <w:snapToGrid w:val="0"/>
          <w:color w:val="auto"/>
          <w:szCs w:val="22"/>
          <w:lang w:eastAsia="en-US"/>
        </w:rPr>
        <w:t xml:space="preserve"> </w:t>
      </w:r>
      <w:r w:rsidR="00FD4928">
        <w:rPr>
          <w:bCs/>
          <w:snapToGrid w:val="0"/>
          <w:color w:val="auto"/>
          <w:szCs w:val="22"/>
          <w:lang w:eastAsia="en-US"/>
        </w:rPr>
        <w:t>item 20</w:t>
      </w:r>
      <w:r w:rsidR="00647593">
        <w:rPr>
          <w:bCs/>
          <w:snapToGrid w:val="0"/>
          <w:color w:val="auto"/>
          <w:szCs w:val="22"/>
          <w:lang w:eastAsia="en-US"/>
        </w:rPr>
        <w:t xml:space="preserve">.1 </w:t>
      </w:r>
      <w:r w:rsidR="003B3E8F">
        <w:rPr>
          <w:snapToGrid w:val="0"/>
          <w:color w:val="auto"/>
          <w:szCs w:val="24"/>
          <w:lang w:eastAsia="en-US"/>
        </w:rPr>
        <w:t xml:space="preserve">do </w:t>
      </w:r>
      <w:r w:rsidRPr="003B3E8F">
        <w:rPr>
          <w:snapToGrid w:val="0"/>
          <w:color w:val="auto"/>
          <w:szCs w:val="24"/>
          <w:lang w:eastAsia="en-US"/>
        </w:rPr>
        <w:t>Edital do Pregão em comento.</w:t>
      </w:r>
    </w:p>
    <w:p w:rsidR="00FD384B" w:rsidRDefault="00FD384B" w:rsidP="00F36050">
      <w:pPr>
        <w:ind w:firstLine="0"/>
        <w:outlineLvl w:val="0"/>
        <w:rPr>
          <w:b/>
          <w:bCs/>
          <w:color w:val="auto"/>
          <w:kern w:val="28"/>
          <w:szCs w:val="24"/>
          <w:u w:val="single"/>
          <w:lang w:eastAsia="ar-SA"/>
        </w:rPr>
      </w:pPr>
    </w:p>
    <w:p w:rsidR="00FD384B" w:rsidRDefault="00FD384B" w:rsidP="00F36050">
      <w:pPr>
        <w:ind w:firstLine="0"/>
        <w:outlineLvl w:val="0"/>
        <w:rPr>
          <w:b/>
          <w:bCs/>
          <w:color w:val="auto"/>
          <w:kern w:val="28"/>
          <w:szCs w:val="24"/>
          <w:u w:val="single"/>
          <w:lang w:eastAsia="ar-SA"/>
        </w:rPr>
      </w:pPr>
    </w:p>
    <w:p w:rsidR="00F36050" w:rsidRPr="00F36050" w:rsidRDefault="00F36050" w:rsidP="00F36050">
      <w:pPr>
        <w:ind w:firstLine="0"/>
        <w:outlineLvl w:val="0"/>
        <w:rPr>
          <w:b/>
          <w:bCs/>
          <w:color w:val="auto"/>
          <w:kern w:val="28"/>
          <w:szCs w:val="24"/>
          <w:u w:val="single"/>
          <w:lang w:eastAsia="ar-SA"/>
        </w:rPr>
      </w:pPr>
      <w:r w:rsidRPr="00F36050">
        <w:rPr>
          <w:b/>
          <w:bCs/>
          <w:color w:val="auto"/>
          <w:kern w:val="28"/>
          <w:szCs w:val="24"/>
          <w:u w:val="single"/>
          <w:lang w:eastAsia="ar-SA"/>
        </w:rPr>
        <w:t xml:space="preserve">II - OBJETO DA LICITAÇÃO. </w:t>
      </w:r>
    </w:p>
    <w:p w:rsidR="00F36050" w:rsidRPr="00F36050" w:rsidRDefault="00F36050" w:rsidP="00F36050">
      <w:pPr>
        <w:rPr>
          <w:snapToGrid w:val="0"/>
        </w:rPr>
      </w:pPr>
    </w:p>
    <w:p w:rsidR="00F36050" w:rsidRPr="003B5531" w:rsidRDefault="00F36050" w:rsidP="00094D5D">
      <w:pPr>
        <w:rPr>
          <w:rFonts w:eastAsia="Times New Roman"/>
          <w:i/>
          <w:color w:val="auto"/>
          <w:szCs w:val="24"/>
          <w:lang w:eastAsia="ar-SA"/>
        </w:rPr>
      </w:pPr>
      <w:r w:rsidRPr="00F36050">
        <w:rPr>
          <w:snapToGrid w:val="0"/>
        </w:rPr>
        <w:t xml:space="preserve">O Pregão em referência tem por objeto </w:t>
      </w:r>
      <w:r w:rsidR="004A5C58" w:rsidRPr="003B5531">
        <w:rPr>
          <w:rFonts w:eastAsia="Times New Roman"/>
          <w:i/>
          <w:color w:val="auto"/>
          <w:szCs w:val="24"/>
          <w:lang w:eastAsia="ar-SA"/>
        </w:rPr>
        <w:t>“</w:t>
      </w:r>
      <w:r w:rsidR="00094D5D" w:rsidRPr="00094D5D">
        <w:rPr>
          <w:rFonts w:eastAsia="Times New Roman"/>
          <w:i/>
          <w:color w:val="auto"/>
          <w:szCs w:val="24"/>
          <w:lang w:eastAsia="ar-SA"/>
        </w:rPr>
        <w:t xml:space="preserve">O objeto da presente Licitação é a contratação de pessoa jurídica para prestação de serviços de Telefonia Móvel Celular (voz e dados – internet móvel 4G), para ligações locais (VC1) e longa distância (VC2 e VC3) para 10 (dez) acessos móveis em regime de comodato, sem custo adicional e aparelhos devidamente habilitados (8 linhas com área de registro em Porto Alegre/RS e 2 linhas em Santa Maria/RS), sendo 7 (sete) linhas com internet móvel 4G, abrangendo os serviços de roaming nacional e internacional, conforme as condições e especificações constantes neste </w:t>
      </w:r>
      <w:r w:rsidR="00094D5D">
        <w:rPr>
          <w:rFonts w:eastAsia="Times New Roman"/>
          <w:i/>
          <w:color w:val="auto"/>
          <w:szCs w:val="24"/>
          <w:lang w:eastAsia="ar-SA"/>
        </w:rPr>
        <w:t>Edital e Termo de Referência</w:t>
      </w:r>
      <w:r w:rsidRPr="003B5531">
        <w:rPr>
          <w:rFonts w:eastAsia="Times New Roman"/>
          <w:i/>
          <w:color w:val="auto"/>
          <w:szCs w:val="24"/>
          <w:lang w:eastAsia="ar-SA"/>
        </w:rPr>
        <w:t>”</w:t>
      </w:r>
      <w:r w:rsidR="004A5C58" w:rsidRPr="003B5531">
        <w:rPr>
          <w:rFonts w:eastAsia="Times New Roman"/>
          <w:i/>
          <w:color w:val="auto"/>
          <w:szCs w:val="24"/>
          <w:lang w:eastAsia="ar-SA"/>
        </w:rPr>
        <w:t>.</w:t>
      </w:r>
      <w:r w:rsidRPr="003B5531">
        <w:rPr>
          <w:rFonts w:eastAsia="Times New Roman"/>
          <w:i/>
          <w:color w:val="auto"/>
          <w:szCs w:val="24"/>
          <w:lang w:eastAsia="ar-SA"/>
        </w:rPr>
        <w:t xml:space="preserve"> </w:t>
      </w:r>
    </w:p>
    <w:p w:rsidR="00F36050" w:rsidRPr="00F36050" w:rsidRDefault="00F36050" w:rsidP="00F36050">
      <w:pPr>
        <w:keepNext/>
        <w:outlineLvl w:val="4"/>
        <w:rPr>
          <w:rFonts w:eastAsia="Times New Roman"/>
          <w:i/>
          <w:color w:val="auto"/>
          <w:szCs w:val="24"/>
          <w:lang w:eastAsia="ar-SA"/>
        </w:rPr>
      </w:pPr>
    </w:p>
    <w:p w:rsidR="00F36050" w:rsidRPr="00F36050" w:rsidRDefault="00F36050" w:rsidP="00F36050">
      <w:pPr>
        <w:rPr>
          <w:snapToGrid w:val="0"/>
        </w:rPr>
      </w:pPr>
      <w:r w:rsidRPr="00F36050">
        <w:rPr>
          <w:snapToGrid w:val="0"/>
        </w:rPr>
        <w:t xml:space="preserve">A presente impugnação apresenta questões pontuais que viciam o ato convocatório, quer por discreparem </w:t>
      </w:r>
      <w:r w:rsidRPr="00F36050">
        <w:rPr>
          <w:snapToGrid w:val="0"/>
          <w:color w:val="auto"/>
        </w:rPr>
        <w:t>do rito estabelecido na Lei Federal n.º 8.666/1993 (com alterações posteriores) e na Lei Federal n.º 10.520/2002, quer por restringirem a competitividade, condição esta essencial para a validade de qualquer procedimento licitatório.</w:t>
      </w:r>
    </w:p>
    <w:p w:rsidR="00F36050" w:rsidRPr="00F36050" w:rsidRDefault="00F36050" w:rsidP="00F36050">
      <w:pPr>
        <w:rPr>
          <w:snapToGrid w:val="0"/>
        </w:rPr>
      </w:pPr>
    </w:p>
    <w:p w:rsidR="00F36050" w:rsidRPr="00F36050" w:rsidRDefault="00F36050" w:rsidP="00F36050">
      <w:pPr>
        <w:rPr>
          <w:snapToGrid w:val="0"/>
        </w:rPr>
      </w:pPr>
      <w:r w:rsidRPr="00F36050">
        <w:rPr>
          <w:snapToGrid w:val="0"/>
        </w:rPr>
        <w:t>Pretende também apontar situações que devem ser esclarecidas, facilitando-se a compreensão de determinadas cláusulas e evitando-se interpretações equivocadas.</w:t>
      </w:r>
    </w:p>
    <w:p w:rsidR="00F36050" w:rsidRPr="00F36050" w:rsidRDefault="00F36050" w:rsidP="00F36050">
      <w:pPr>
        <w:rPr>
          <w:snapToGrid w:val="0"/>
        </w:rPr>
      </w:pPr>
    </w:p>
    <w:p w:rsidR="00F36050" w:rsidRPr="00F36050" w:rsidRDefault="00F831A2" w:rsidP="00F36050">
      <w:pPr>
        <w:rPr>
          <w:snapToGrid w:val="0"/>
        </w:rPr>
      </w:pPr>
      <w:r w:rsidRPr="00F831A2">
        <w:rPr>
          <w:b/>
          <w:snapToGrid w:val="0"/>
          <w:color w:val="auto"/>
          <w:u w:val="single"/>
        </w:rPr>
        <w:t xml:space="preserve">Oito </w:t>
      </w:r>
      <w:r w:rsidR="00F36050" w:rsidRPr="00F831A2">
        <w:rPr>
          <w:snapToGrid w:val="0"/>
          <w:color w:val="auto"/>
        </w:rPr>
        <w:t>são os fundamentos que justificam a presente impugnação, conforme exposição a seguir</w:t>
      </w:r>
      <w:r w:rsidR="00F36050" w:rsidRPr="00F36050">
        <w:rPr>
          <w:snapToGrid w:val="0"/>
        </w:rPr>
        <w:t>.</w:t>
      </w:r>
    </w:p>
    <w:p w:rsidR="00F36050" w:rsidRPr="00F36050" w:rsidRDefault="00F36050" w:rsidP="00F36050">
      <w:pPr>
        <w:rPr>
          <w:snapToGrid w:val="0"/>
        </w:rPr>
      </w:pPr>
    </w:p>
    <w:p w:rsidR="00F36050" w:rsidRPr="00F36050" w:rsidRDefault="00F36050" w:rsidP="00F36050">
      <w:pPr>
        <w:ind w:firstLine="0"/>
        <w:outlineLvl w:val="0"/>
        <w:rPr>
          <w:b/>
          <w:bCs/>
          <w:color w:val="auto"/>
          <w:kern w:val="28"/>
          <w:szCs w:val="32"/>
          <w:u w:val="single"/>
          <w:lang w:eastAsia="ar-SA"/>
        </w:rPr>
      </w:pPr>
      <w:r w:rsidRPr="00F36050">
        <w:rPr>
          <w:b/>
          <w:bCs/>
          <w:color w:val="auto"/>
          <w:kern w:val="28"/>
          <w:szCs w:val="32"/>
          <w:u w:val="single"/>
          <w:lang w:eastAsia="ar-SA"/>
        </w:rPr>
        <w:t>III - FUNDAMENTOS DA IMPUGNAÇÃO AO EDITAL.</w:t>
      </w:r>
    </w:p>
    <w:p w:rsidR="00C94E6F" w:rsidRDefault="00C94E6F" w:rsidP="00C94E6F">
      <w:pPr>
        <w:pStyle w:val="PPC"/>
        <w:ind w:firstLine="0"/>
        <w:rPr>
          <w:szCs w:val="24"/>
        </w:rPr>
      </w:pPr>
    </w:p>
    <w:p w:rsidR="00FD384B" w:rsidRPr="00837A1C" w:rsidRDefault="00C94E6F" w:rsidP="00FD384B">
      <w:pPr>
        <w:pStyle w:val="PPC"/>
        <w:spacing w:line="240" w:lineRule="auto"/>
        <w:ind w:firstLine="0"/>
        <w:rPr>
          <w:b/>
          <w:u w:val="single"/>
        </w:rPr>
      </w:pPr>
      <w:r w:rsidRPr="00421C56">
        <w:rPr>
          <w:b/>
          <w:u w:val="single"/>
        </w:rPr>
        <w:t>0</w:t>
      </w:r>
      <w:r w:rsidR="00957674" w:rsidRPr="00421C56">
        <w:rPr>
          <w:b/>
          <w:u w:val="single"/>
        </w:rPr>
        <w:t>1</w:t>
      </w:r>
      <w:r w:rsidR="00FD384B" w:rsidRPr="00421C56">
        <w:rPr>
          <w:b/>
          <w:u w:val="single"/>
        </w:rPr>
        <w:t xml:space="preserve">. EXIGÊNCIA DE AMOSTRA </w:t>
      </w:r>
      <w:r w:rsidR="00FD384B" w:rsidRPr="00421C56">
        <w:rPr>
          <w:rFonts w:ascii="Arial (W1)" w:hAnsi="Arial (W1)"/>
          <w:b/>
          <w:u w:val="single"/>
        </w:rPr>
        <w:t>PRELIMINARMENTE À ADJUDICAÇÃO DO OBJETO.</w:t>
      </w:r>
      <w:r w:rsidR="00FD384B" w:rsidRPr="00421C56">
        <w:rPr>
          <w:b/>
          <w:u w:val="single"/>
        </w:rPr>
        <w:t xml:space="preserve"> </w:t>
      </w:r>
    </w:p>
    <w:p w:rsidR="00FD384B" w:rsidRPr="00837A1C" w:rsidRDefault="00FD384B" w:rsidP="00FD384B">
      <w:pPr>
        <w:pStyle w:val="PPC"/>
        <w:ind w:firstLine="0"/>
        <w:rPr>
          <w:b/>
          <w:u w:val="single"/>
        </w:rPr>
      </w:pPr>
    </w:p>
    <w:p w:rsidR="00FD384B" w:rsidRPr="00837A1C" w:rsidRDefault="00FD384B" w:rsidP="00FD384B">
      <w:pPr>
        <w:pStyle w:val="PPC"/>
      </w:pPr>
      <w:r w:rsidRPr="00837A1C">
        <w:t xml:space="preserve">O </w:t>
      </w:r>
      <w:r>
        <w:t xml:space="preserve">item 5.2, alínea ‘a’ </w:t>
      </w:r>
      <w:r w:rsidRPr="00837A1C">
        <w:t xml:space="preserve">do </w:t>
      </w:r>
      <w:r>
        <w:t xml:space="preserve">Anexo I </w:t>
      </w:r>
      <w:r w:rsidRPr="00837A1C">
        <w:t xml:space="preserve">indica, como pressuposto para aceitação </w:t>
      </w:r>
      <w:r w:rsidRPr="00F45631">
        <w:t>da proposta comercial e preliminarmente à adjudicação do objeto, a apresentação de amostra dos equipamentos</w:t>
      </w:r>
      <w:r w:rsidRPr="00837A1C">
        <w:t>.</w:t>
      </w:r>
    </w:p>
    <w:p w:rsidR="00FD384B" w:rsidRPr="00837A1C" w:rsidRDefault="00FD384B" w:rsidP="00FD384B">
      <w:pPr>
        <w:pStyle w:val="PPC"/>
      </w:pPr>
    </w:p>
    <w:p w:rsidR="00FD384B" w:rsidRPr="00837A1C" w:rsidRDefault="00FD384B" w:rsidP="00FD384B">
      <w:pPr>
        <w:pStyle w:val="PPC"/>
      </w:pPr>
      <w:r w:rsidRPr="00837A1C">
        <w:t xml:space="preserve">Todavia, </w:t>
      </w:r>
      <w:r w:rsidR="00AC772B">
        <w:t>imp</w:t>
      </w:r>
      <w:r w:rsidR="003949E5">
        <w:t>ortante é esclarecer que as</w:t>
      </w:r>
      <w:r w:rsidR="00AC772B">
        <w:t xml:space="preserve"> Operadora</w:t>
      </w:r>
      <w:r w:rsidR="003949E5">
        <w:t>s</w:t>
      </w:r>
      <w:r w:rsidR="00AC772B">
        <w:t xml:space="preserve"> depende</w:t>
      </w:r>
      <w:r w:rsidR="003949E5">
        <w:t>m</w:t>
      </w:r>
      <w:r w:rsidR="00AC772B">
        <w:t xml:space="preserve"> dos fabricantes para fornecer os equipamentos, portanto, para atender o referido item, far-se-á necessário que o mesmo seja alterado.</w:t>
      </w:r>
    </w:p>
    <w:p w:rsidR="00FD384B" w:rsidRPr="00837A1C" w:rsidRDefault="00FD384B" w:rsidP="00FD384B">
      <w:pPr>
        <w:pStyle w:val="PPC"/>
      </w:pPr>
    </w:p>
    <w:p w:rsidR="00FD384B" w:rsidRPr="00837A1C" w:rsidRDefault="00AC772B" w:rsidP="00FD384B">
      <w:pPr>
        <w:pStyle w:val="PPC"/>
      </w:pPr>
      <w:r>
        <w:lastRenderedPageBreak/>
        <w:t>Desta forma, vem requerer que seja previsto no edital a necessidade de fornecimento de apenas um equipamento e que o prazo para a apresentação do mesmo seja de 20 (vinte) dias.</w:t>
      </w:r>
    </w:p>
    <w:p w:rsidR="00B220F0" w:rsidRDefault="00B220F0" w:rsidP="00B220F0">
      <w:pPr>
        <w:pStyle w:val="PPC"/>
        <w:ind w:firstLine="0"/>
        <w:rPr>
          <w:b/>
          <w:u w:val="single"/>
        </w:rPr>
      </w:pPr>
    </w:p>
    <w:p w:rsidR="00B220F0" w:rsidRPr="00E74E6C" w:rsidRDefault="00792F03" w:rsidP="00B220F0">
      <w:pPr>
        <w:pStyle w:val="PPC"/>
        <w:ind w:firstLine="0"/>
        <w:rPr>
          <w:b/>
          <w:u w:val="single"/>
        </w:rPr>
      </w:pPr>
      <w:r>
        <w:rPr>
          <w:b/>
          <w:u w:val="single"/>
        </w:rPr>
        <w:t>02</w:t>
      </w:r>
      <w:r w:rsidR="00B220F0" w:rsidRPr="00792F03">
        <w:rPr>
          <w:b/>
          <w:u w:val="single"/>
        </w:rPr>
        <w:t>. AUSÊNCIA DE RESPONSABILIDADE DA CONTRATADA PELA ASSISTÊNCIA TÉCNICA AOS EQUIPAMENTOS.</w:t>
      </w:r>
    </w:p>
    <w:p w:rsidR="00B220F0" w:rsidRPr="00E74E6C" w:rsidRDefault="00B220F0" w:rsidP="00B220F0">
      <w:pPr>
        <w:pStyle w:val="PPC"/>
        <w:ind w:firstLine="120"/>
      </w:pPr>
    </w:p>
    <w:p w:rsidR="00B220F0" w:rsidRPr="00105635" w:rsidRDefault="00B220F0" w:rsidP="00B220F0">
      <w:pPr>
        <w:pStyle w:val="PPC"/>
        <w:rPr>
          <w:i/>
          <w:szCs w:val="24"/>
        </w:rPr>
      </w:pPr>
      <w:r w:rsidRPr="00105635">
        <w:rPr>
          <w:szCs w:val="24"/>
        </w:rPr>
        <w:t>O item</w:t>
      </w:r>
      <w:r w:rsidR="00105635" w:rsidRPr="00105635">
        <w:rPr>
          <w:szCs w:val="24"/>
        </w:rPr>
        <w:t xml:space="preserve"> 5.2, alínea ‘c’ do Anexo I determina que </w:t>
      </w:r>
      <w:r w:rsidR="00105635" w:rsidRPr="00105635">
        <w:rPr>
          <w:i/>
          <w:szCs w:val="24"/>
        </w:rPr>
        <w:t>“nos casos em que for constatado defeito de fabricação, a Contratada deverá providenciar a troca do aparelho defeituoso por outro aparelho do mesmo modelo e marca com todos os recursos dos demais”.</w:t>
      </w:r>
    </w:p>
    <w:p w:rsidR="00B220F0" w:rsidRDefault="00B220F0" w:rsidP="00B220F0">
      <w:pPr>
        <w:pStyle w:val="PPC"/>
        <w:rPr>
          <w:szCs w:val="24"/>
        </w:rPr>
      </w:pPr>
    </w:p>
    <w:p w:rsidR="006D2D3A" w:rsidRDefault="006D2D3A" w:rsidP="00B220F0">
      <w:pPr>
        <w:pStyle w:val="PPC"/>
        <w:rPr>
          <w:szCs w:val="24"/>
        </w:rPr>
      </w:pPr>
      <w:r>
        <w:rPr>
          <w:szCs w:val="24"/>
        </w:rPr>
        <w:t xml:space="preserve">Ressalta-se, também, o disposto no item 12.1, alínea ‘s’ do Anexo I </w:t>
      </w:r>
      <w:r w:rsidR="00E74ABD">
        <w:rPr>
          <w:szCs w:val="24"/>
        </w:rPr>
        <w:t xml:space="preserve">e a alínea ‘s’ da Cláusula Sexta da Minuta do Contrato </w:t>
      </w:r>
      <w:r>
        <w:rPr>
          <w:szCs w:val="24"/>
        </w:rPr>
        <w:t>que estabelece</w:t>
      </w:r>
      <w:r w:rsidR="00E74ABD">
        <w:rPr>
          <w:szCs w:val="24"/>
        </w:rPr>
        <w:t>m</w:t>
      </w:r>
      <w:r>
        <w:rPr>
          <w:szCs w:val="24"/>
        </w:rPr>
        <w:t xml:space="preserve"> que a Contratada deverá </w:t>
      </w:r>
      <w:r w:rsidRPr="006D2D3A">
        <w:rPr>
          <w:szCs w:val="24"/>
        </w:rPr>
        <w:t>reparar ou substituir qualquer aparelho que apresentar defeito</w:t>
      </w:r>
      <w:r w:rsidR="001850ED">
        <w:rPr>
          <w:szCs w:val="24"/>
        </w:rPr>
        <w:t>, bem como, o preconizado na alínea ‘z’</w:t>
      </w:r>
      <w:r w:rsidR="00202070">
        <w:rPr>
          <w:szCs w:val="24"/>
        </w:rPr>
        <w:t xml:space="preserve"> do item 12.1 do Anexo I e alínea ‘z’ do Anexo II</w:t>
      </w:r>
      <w:r w:rsidR="001850ED">
        <w:rPr>
          <w:szCs w:val="24"/>
        </w:rPr>
        <w:t>, que assim dispõe</w:t>
      </w:r>
      <w:r w:rsidR="00202070">
        <w:rPr>
          <w:szCs w:val="24"/>
        </w:rPr>
        <w:t>m</w:t>
      </w:r>
      <w:r w:rsidR="001850ED">
        <w:rPr>
          <w:szCs w:val="24"/>
        </w:rPr>
        <w:t xml:space="preserve">: </w:t>
      </w:r>
      <w:r w:rsidR="00943B00" w:rsidRPr="00943B00">
        <w:rPr>
          <w:szCs w:val="24"/>
        </w:rPr>
        <w:t>efetuar a substituição de quaisquer dos equipamentos oferecidos, sem ônus para o CRN-2, desde que não seja constatado o uso indevido</w:t>
      </w:r>
      <w:r w:rsidR="00943B00">
        <w:rPr>
          <w:szCs w:val="24"/>
        </w:rPr>
        <w:t>.</w:t>
      </w:r>
    </w:p>
    <w:p w:rsidR="006D2D3A" w:rsidRDefault="006D2D3A" w:rsidP="00B220F0">
      <w:pPr>
        <w:pStyle w:val="PPC"/>
        <w:rPr>
          <w:szCs w:val="24"/>
        </w:rPr>
      </w:pPr>
    </w:p>
    <w:p w:rsidR="00B220F0" w:rsidRPr="00E74E6C" w:rsidRDefault="00B220F0" w:rsidP="00B220F0">
      <w:pPr>
        <w:pStyle w:val="PPC"/>
        <w:rPr>
          <w:b/>
        </w:rPr>
      </w:pPr>
      <w:r w:rsidRPr="00E74E6C">
        <w:t xml:space="preserve">Todavia, tal situação atua em descompasso com o regime de prestação do serviço, considerando que o </w:t>
      </w:r>
      <w:r w:rsidRPr="00E74E6C">
        <w:rPr>
          <w:b/>
        </w:rPr>
        <w:t>aparelho</w:t>
      </w:r>
      <w:r w:rsidR="00105635">
        <w:rPr>
          <w:b/>
        </w:rPr>
        <w:t xml:space="preserve"> é </w:t>
      </w:r>
      <w:r w:rsidRPr="00E74E6C">
        <w:rPr>
          <w:b/>
        </w:rPr>
        <w:t>apenas e tão-somente meio para que possa se efetivar o serviço de telefonia</w:t>
      </w:r>
      <w:r>
        <w:rPr>
          <w:b/>
        </w:rPr>
        <w:t xml:space="preserve"> e internet</w:t>
      </w:r>
      <w:r w:rsidRPr="00E74E6C">
        <w:rPr>
          <w:b/>
        </w:rPr>
        <w:t xml:space="preserve">, </w:t>
      </w:r>
      <w:r w:rsidR="00105635">
        <w:rPr>
          <w:b/>
        </w:rPr>
        <w:t>equipamento</w:t>
      </w:r>
      <w:r w:rsidRPr="00E74E6C">
        <w:rPr>
          <w:b/>
        </w:rPr>
        <w:t xml:space="preserve"> este cujo funcionamento regular é de responsabilidade direta do fabricante.</w:t>
      </w:r>
    </w:p>
    <w:p w:rsidR="00B220F0" w:rsidRPr="00E74E6C" w:rsidRDefault="00B220F0" w:rsidP="00B220F0">
      <w:pPr>
        <w:pStyle w:val="PPC"/>
      </w:pPr>
    </w:p>
    <w:p w:rsidR="00B220F0" w:rsidRPr="00E74E6C" w:rsidRDefault="00B220F0" w:rsidP="00B220F0">
      <w:pPr>
        <w:pStyle w:val="PPC"/>
      </w:pPr>
      <w:r w:rsidRPr="00E74E6C">
        <w:t xml:space="preserve">Assim, nos termos do artigo 12 do Código de Defesa do Consumidor (Lei Federal n.º 8078/1990), quem responde pelos problemas inerentes </w:t>
      </w:r>
      <w:r w:rsidRPr="00105635">
        <w:t>ao aparelho celular é o fabricante</w:t>
      </w:r>
      <w:r w:rsidRPr="00E74E6C">
        <w:t>, o produtor, o construtor, nacional ou estrangeiro, e o importador. Neste sentido, é incorreta a previsão editalícia que, de imediato, tenta compelir a operadora a resolver problema não diretamente relacionado ao serviço de telefonia</w:t>
      </w:r>
      <w:r>
        <w:t xml:space="preserve"> e internet</w:t>
      </w:r>
      <w:r w:rsidRPr="00E74E6C">
        <w:t xml:space="preserve"> propriamente dit</w:t>
      </w:r>
      <w:r>
        <w:t>os</w:t>
      </w:r>
      <w:r w:rsidRPr="00E74E6C">
        <w:t>.</w:t>
      </w:r>
    </w:p>
    <w:p w:rsidR="00B220F0" w:rsidRPr="00E74E6C" w:rsidRDefault="00B220F0" w:rsidP="00B220F0">
      <w:pPr>
        <w:pStyle w:val="PPC"/>
      </w:pPr>
    </w:p>
    <w:p w:rsidR="00B220F0" w:rsidRDefault="00B220F0" w:rsidP="00B220F0">
      <w:pPr>
        <w:pStyle w:val="PPC"/>
      </w:pPr>
      <w:r w:rsidRPr="00E74E6C">
        <w:t xml:space="preserve">De </w:t>
      </w:r>
      <w:r w:rsidRPr="00105635">
        <w:t xml:space="preserve">fato, o aparelho </w:t>
      </w:r>
      <w:r w:rsidR="00105635" w:rsidRPr="00105635">
        <w:t xml:space="preserve">é </w:t>
      </w:r>
      <w:r w:rsidRPr="00105635">
        <w:t xml:space="preserve">apenas meio para o exercício do serviço de telefonia celular e internet, sendo a fabricação realizada </w:t>
      </w:r>
      <w:r w:rsidRPr="00E74E6C">
        <w:t>por outras empresas diferentes da prestadora do serviço em referência.</w:t>
      </w:r>
    </w:p>
    <w:p w:rsidR="00B220F0" w:rsidRPr="00E74E6C" w:rsidRDefault="00B220F0" w:rsidP="00B220F0">
      <w:pPr>
        <w:pStyle w:val="PPC"/>
      </w:pPr>
    </w:p>
    <w:p w:rsidR="00B220F0" w:rsidRPr="00E74E6C" w:rsidRDefault="00B220F0" w:rsidP="00B220F0">
      <w:pPr>
        <w:pStyle w:val="PPC"/>
      </w:pPr>
      <w:r w:rsidRPr="00E74E6C">
        <w:t xml:space="preserve">Assim, em caso de defeito, a ritualística correta é o envio do </w:t>
      </w:r>
      <w:r>
        <w:t>objeto</w:t>
      </w:r>
      <w:r w:rsidRPr="00E74E6C">
        <w:t xml:space="preserve"> </w:t>
      </w:r>
      <w:r w:rsidRPr="00BC2E26">
        <w:rPr>
          <w:b/>
          <w:u w:val="single"/>
        </w:rPr>
        <w:t>exclusivamente pelo contratante</w:t>
      </w:r>
      <w:r>
        <w:t xml:space="preserve"> </w:t>
      </w:r>
      <w:r w:rsidRPr="00E74E6C">
        <w:t>para a assistência técnica do fabricante detectar eventual problema, bem como realizar um laudo técnico.</w:t>
      </w:r>
    </w:p>
    <w:p w:rsidR="00B220F0" w:rsidRPr="00E74E6C" w:rsidRDefault="00B220F0" w:rsidP="00B220F0">
      <w:pPr>
        <w:pStyle w:val="PPC"/>
      </w:pPr>
    </w:p>
    <w:p w:rsidR="00B220F0" w:rsidRDefault="00B220F0" w:rsidP="00B220F0">
      <w:pPr>
        <w:pStyle w:val="PPC"/>
      </w:pPr>
      <w:r w:rsidRPr="00E74E6C">
        <w:t xml:space="preserve">A partir desta informação, verificar-se-á qual a origem do problema, sendo, somente após tal análise prévia, determinado se seria ou não responsabilidade da operadora a troca do </w:t>
      </w:r>
      <w:r>
        <w:t>objeto</w:t>
      </w:r>
      <w:r w:rsidRPr="00E74E6C">
        <w:t>.</w:t>
      </w:r>
    </w:p>
    <w:p w:rsidR="00B220F0" w:rsidRDefault="00B220F0" w:rsidP="00B220F0">
      <w:pPr>
        <w:pStyle w:val="PPC"/>
      </w:pPr>
    </w:p>
    <w:p w:rsidR="00B220F0" w:rsidRPr="0041540D" w:rsidRDefault="00B220F0" w:rsidP="00B220F0">
      <w:pPr>
        <w:pStyle w:val="PPC"/>
        <w:rPr>
          <w:b/>
          <w:u w:val="single"/>
        </w:rPr>
      </w:pPr>
      <w:r w:rsidRPr="0041540D">
        <w:rPr>
          <w:b/>
          <w:u w:val="single"/>
        </w:rPr>
        <w:t>O prazo de troca pela operadora é comumente realizado em até 7 (sete) dias do recebimento do equipamento. Após esse prazo a garantia será fornecida pelo fabricante, mediante laudo da assistência técnica.</w:t>
      </w:r>
    </w:p>
    <w:p w:rsidR="00B220F0" w:rsidRDefault="00B220F0" w:rsidP="00B220F0">
      <w:pPr>
        <w:pStyle w:val="PPC"/>
      </w:pPr>
    </w:p>
    <w:p w:rsidR="00B220F0" w:rsidRDefault="00B220F0" w:rsidP="00B220F0">
      <w:pPr>
        <w:pStyle w:val="PPC"/>
      </w:pPr>
      <w:r>
        <w:t>Destarte, é fundamental mencionar que a garantia do equipamento, concedida pela Assistência Técnica do fabricante não abrange os defeitos ocasionados pela utilização incorreta dos objetos tampouco pelas quebras nos mesmos.</w:t>
      </w:r>
    </w:p>
    <w:p w:rsidR="00B220F0" w:rsidRPr="00E74E6C" w:rsidRDefault="00B220F0" w:rsidP="00B220F0">
      <w:pPr>
        <w:pStyle w:val="PPC"/>
      </w:pPr>
    </w:p>
    <w:p w:rsidR="00B220F0" w:rsidRPr="00E74E6C" w:rsidRDefault="00B220F0" w:rsidP="00B220F0">
      <w:pPr>
        <w:pStyle w:val="PPC"/>
      </w:pPr>
      <w:r w:rsidRPr="00E74E6C">
        <w:t xml:space="preserve">Neste contexto, </w:t>
      </w:r>
      <w:r>
        <w:t xml:space="preserve">deve ser previsto em edital a responsabilidade da contratada pela substituição dos equipamentos com defeito somente nos casos em que o defeito for constatado em até 07 (sete) dias da </w:t>
      </w:r>
      <w:r w:rsidRPr="0041540D">
        <w:rPr>
          <w:u w:val="single"/>
        </w:rPr>
        <w:t>entrega</w:t>
      </w:r>
      <w:r>
        <w:t xml:space="preserve"> dos equipamentos pela contratada.</w:t>
      </w:r>
    </w:p>
    <w:p w:rsidR="00B96F20" w:rsidRPr="00B11D0C" w:rsidRDefault="00B96F20" w:rsidP="00121F05">
      <w:pPr>
        <w:pStyle w:val="PPC"/>
        <w:ind w:firstLine="0"/>
        <w:rPr>
          <w:b/>
        </w:rPr>
      </w:pPr>
    </w:p>
    <w:p w:rsidR="002A7574" w:rsidRDefault="002742A9" w:rsidP="008A2883">
      <w:pPr>
        <w:pStyle w:val="PPC"/>
        <w:ind w:firstLine="0"/>
        <w:rPr>
          <w:b/>
          <w:u w:val="single"/>
        </w:rPr>
      </w:pPr>
      <w:r w:rsidRPr="00FA034C">
        <w:rPr>
          <w:b/>
          <w:u w:val="single"/>
        </w:rPr>
        <w:t>03</w:t>
      </w:r>
      <w:r w:rsidR="008A2883" w:rsidRPr="00FA034C">
        <w:rPr>
          <w:b/>
          <w:u w:val="single"/>
        </w:rPr>
        <w:t xml:space="preserve">. </w:t>
      </w:r>
      <w:r w:rsidR="001E0968" w:rsidRPr="00FA034C">
        <w:rPr>
          <w:b/>
          <w:u w:val="single"/>
        </w:rPr>
        <w:t>ESCLARECIMENTO</w:t>
      </w:r>
      <w:r w:rsidR="001E0968">
        <w:rPr>
          <w:b/>
          <w:u w:val="single"/>
        </w:rPr>
        <w:t xml:space="preserve"> ACERCA DO</w:t>
      </w:r>
      <w:r>
        <w:rPr>
          <w:b/>
          <w:u w:val="single"/>
        </w:rPr>
        <w:t xml:space="preserve"> OBJETO LICITADO.</w:t>
      </w:r>
      <w:r w:rsidR="001E0968">
        <w:rPr>
          <w:b/>
          <w:u w:val="single"/>
        </w:rPr>
        <w:t xml:space="preserve"> </w:t>
      </w:r>
    </w:p>
    <w:p w:rsidR="001E0968" w:rsidRPr="00826054" w:rsidRDefault="001E0968" w:rsidP="008A2883">
      <w:pPr>
        <w:pStyle w:val="PPC"/>
        <w:ind w:firstLine="0"/>
        <w:rPr>
          <w:b/>
          <w:u w:val="single"/>
        </w:rPr>
      </w:pPr>
    </w:p>
    <w:p w:rsidR="008A2883" w:rsidRDefault="008A2883" w:rsidP="008A2883">
      <w:pPr>
        <w:pStyle w:val="PPC"/>
        <w:rPr>
          <w:i/>
          <w:szCs w:val="24"/>
        </w:rPr>
      </w:pPr>
      <w:r w:rsidRPr="00826054">
        <w:t xml:space="preserve">Questão que merece ser esclarecida é a referente ao alcance da previsão do item </w:t>
      </w:r>
      <w:r w:rsidR="002742A9">
        <w:t>7 do Anexo I, que assim estabelece:</w:t>
      </w:r>
      <w:r w:rsidRPr="001E0968">
        <w:rPr>
          <w:i/>
          <w:szCs w:val="24"/>
        </w:rPr>
        <w:t xml:space="preserve"> </w:t>
      </w:r>
    </w:p>
    <w:p w:rsidR="0078058A" w:rsidRDefault="0078058A" w:rsidP="008A2883">
      <w:pPr>
        <w:pStyle w:val="PPC"/>
        <w:rPr>
          <w:i/>
          <w:szCs w:val="24"/>
        </w:rPr>
      </w:pPr>
    </w:p>
    <w:p w:rsidR="0078058A" w:rsidRPr="001E0968" w:rsidRDefault="0078058A" w:rsidP="008A2883">
      <w:pPr>
        <w:pStyle w:val="PPC"/>
        <w:rPr>
          <w:i/>
          <w:szCs w:val="24"/>
        </w:rPr>
      </w:pPr>
    </w:p>
    <w:tbl>
      <w:tblPr>
        <w:tblW w:w="10200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6"/>
        <w:gridCol w:w="2365"/>
        <w:gridCol w:w="1745"/>
        <w:gridCol w:w="1844"/>
      </w:tblGrid>
      <w:tr w:rsidR="002742A9" w:rsidTr="002742A9">
        <w:trPr>
          <w:trHeight w:val="360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42A9" w:rsidRDefault="002742A9">
            <w:pPr>
              <w:rPr>
                <w:rFonts w:ascii="Calibri" w:eastAsiaTheme="minorHAnsi" w:hAnsi="Calibri" w:cs="Times New Roman"/>
                <w:color w:val="auto"/>
                <w:sz w:val="22"/>
              </w:rPr>
            </w:pPr>
            <w:r>
              <w:t xml:space="preserve">Acesso ilimitado via internet 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42A9" w:rsidRDefault="002742A9">
            <w:pPr>
              <w:rPr>
                <w:lang w:eastAsia="en-US"/>
              </w:rPr>
            </w:pPr>
            <w:r>
              <w:t>84 (pacote)</w:t>
            </w:r>
          </w:p>
        </w:tc>
        <w:tc>
          <w:tcPr>
            <w:tcW w:w="17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42A9" w:rsidRDefault="002742A9">
            <w:r>
              <w:t>R$ 81,60</w:t>
            </w: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42A9" w:rsidRDefault="002742A9">
            <w:r>
              <w:t>R$ 6.854,40</w:t>
            </w:r>
          </w:p>
        </w:tc>
      </w:tr>
      <w:tr w:rsidR="002742A9" w:rsidTr="002742A9">
        <w:trPr>
          <w:trHeight w:val="360"/>
        </w:trPr>
        <w:tc>
          <w:tcPr>
            <w:tcW w:w="42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42A9" w:rsidRDefault="002742A9">
            <w:r>
              <w:t>Gestor on line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42A9" w:rsidRDefault="002742A9">
            <w:r>
              <w:t>10 Unidade</w:t>
            </w:r>
          </w:p>
        </w:tc>
        <w:tc>
          <w:tcPr>
            <w:tcW w:w="174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42A9" w:rsidRDefault="002742A9">
            <w:r>
              <w:t>R$ 7,75</w:t>
            </w:r>
          </w:p>
        </w:tc>
        <w:tc>
          <w:tcPr>
            <w:tcW w:w="1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742A9" w:rsidRDefault="002742A9">
            <w:r>
              <w:t>R$ 77,50</w:t>
            </w:r>
          </w:p>
        </w:tc>
      </w:tr>
    </w:tbl>
    <w:p w:rsidR="008A2883" w:rsidRDefault="008A2883" w:rsidP="008A2883">
      <w:pPr>
        <w:pStyle w:val="PPC"/>
        <w:rPr>
          <w:i/>
          <w:szCs w:val="24"/>
        </w:rPr>
      </w:pPr>
    </w:p>
    <w:p w:rsidR="00944BED" w:rsidRPr="00944BED" w:rsidRDefault="00944BED" w:rsidP="00944BED">
      <w:pPr>
        <w:pStyle w:val="PPC"/>
        <w:rPr>
          <w:szCs w:val="24"/>
        </w:rPr>
      </w:pPr>
      <w:r>
        <w:rPr>
          <w:szCs w:val="24"/>
        </w:rPr>
        <w:t>Giro outro, imperioso destacar o disposto na Planilha de Preços, que determina:</w:t>
      </w:r>
    </w:p>
    <w:p w:rsidR="008A2883" w:rsidRDefault="008A2883" w:rsidP="008A2883">
      <w:pPr>
        <w:pStyle w:val="PPC"/>
      </w:pPr>
    </w:p>
    <w:p w:rsidR="00944BED" w:rsidRPr="00496B6D" w:rsidRDefault="00944BED" w:rsidP="00496B6D">
      <w:pPr>
        <w:pStyle w:val="Citao"/>
        <w:rPr>
          <w:rFonts w:ascii="Calibri" w:eastAsiaTheme="minorHAnsi" w:hAnsi="Calibri" w:cs="Times New Roman"/>
        </w:rPr>
      </w:pPr>
      <w:r>
        <w:t>- Para o fornecimento de 10 Smartphones será necessário a contratação de pacotes de dados para todas as linhas (quantidade de 120 pacotes anuais)</w:t>
      </w:r>
    </w:p>
    <w:p w:rsidR="00944BED" w:rsidRDefault="00944BED" w:rsidP="00944BED">
      <w:pPr>
        <w:pStyle w:val="Citao"/>
      </w:pPr>
      <w:r>
        <w:t>- O Gestor on line deve ser contratado para todas as linhas da conta (quantidade de 120 pacotes anuais)</w:t>
      </w:r>
    </w:p>
    <w:p w:rsidR="00944BED" w:rsidRPr="00826054" w:rsidRDefault="00944BED" w:rsidP="008A2883">
      <w:pPr>
        <w:pStyle w:val="PPC"/>
      </w:pPr>
    </w:p>
    <w:p w:rsidR="008A2883" w:rsidRPr="00944BED" w:rsidRDefault="00944BED" w:rsidP="00944BED">
      <w:pPr>
        <w:pStyle w:val="PPC"/>
      </w:pPr>
      <w:r>
        <w:lastRenderedPageBreak/>
        <w:t xml:space="preserve">Neste sentido, resta evidente a incongruência no que tange ao número </w:t>
      </w:r>
      <w:r w:rsidR="00496B6D">
        <w:t>de pacotes previstos</w:t>
      </w:r>
      <w:r w:rsidR="00893E66">
        <w:t xml:space="preserve"> no Anexo I com aqueles previsto</w:t>
      </w:r>
      <w:r>
        <w:t xml:space="preserve">s na Planilha de Preços. </w:t>
      </w:r>
      <w:r w:rsidR="00257E8C">
        <w:rPr>
          <w:szCs w:val="24"/>
        </w:rPr>
        <w:t>Nesse diapasã</w:t>
      </w:r>
      <w:r w:rsidR="006D2D3A">
        <w:rPr>
          <w:szCs w:val="24"/>
        </w:rPr>
        <w:t xml:space="preserve">o, </w:t>
      </w:r>
      <w:r>
        <w:rPr>
          <w:szCs w:val="24"/>
        </w:rPr>
        <w:t>requer seja esclarecido o ponto supracitado.</w:t>
      </w:r>
    </w:p>
    <w:p w:rsidR="008A2883" w:rsidRDefault="008A2883" w:rsidP="008A2883"/>
    <w:p w:rsidR="00922C29" w:rsidRPr="00F553CB" w:rsidRDefault="00121F05" w:rsidP="00922C29">
      <w:pPr>
        <w:pStyle w:val="PPC"/>
        <w:ind w:firstLine="0"/>
        <w:rPr>
          <w:b/>
          <w:szCs w:val="24"/>
          <w:u w:val="single"/>
        </w:rPr>
      </w:pPr>
      <w:r>
        <w:rPr>
          <w:b/>
          <w:szCs w:val="24"/>
          <w:u w:val="single"/>
        </w:rPr>
        <w:t>04</w:t>
      </w:r>
      <w:r w:rsidR="00922C29" w:rsidRPr="00121F05">
        <w:rPr>
          <w:b/>
          <w:szCs w:val="24"/>
          <w:u w:val="single"/>
        </w:rPr>
        <w:t>. ESCLARECIMENTO</w:t>
      </w:r>
      <w:r w:rsidR="00922C29" w:rsidRPr="00F553CB">
        <w:rPr>
          <w:b/>
          <w:szCs w:val="24"/>
          <w:u w:val="single"/>
        </w:rPr>
        <w:t xml:space="preserve"> QUANTO SERVI</w:t>
      </w:r>
      <w:r w:rsidR="00922C29">
        <w:rPr>
          <w:b/>
          <w:szCs w:val="24"/>
          <w:u w:val="single"/>
        </w:rPr>
        <w:t>ÇO (PACOTE) DE DADOS.</w:t>
      </w:r>
    </w:p>
    <w:p w:rsidR="00922C29" w:rsidRDefault="00922C29" w:rsidP="00922C29">
      <w:pPr>
        <w:pStyle w:val="PPC"/>
        <w:ind w:firstLine="0"/>
        <w:rPr>
          <w:b/>
          <w:szCs w:val="24"/>
          <w:u w:val="single"/>
        </w:rPr>
      </w:pPr>
    </w:p>
    <w:p w:rsidR="00922C29" w:rsidRPr="008A013D" w:rsidRDefault="00922C29" w:rsidP="00922C29">
      <w:pPr>
        <w:pStyle w:val="PPC"/>
        <w:rPr>
          <w:szCs w:val="24"/>
        </w:rPr>
      </w:pPr>
      <w:r>
        <w:rPr>
          <w:szCs w:val="24"/>
        </w:rPr>
        <w:t xml:space="preserve">No que tange ao serviço de transmissão de dados através de terminais móveis; </w:t>
      </w:r>
      <w:r w:rsidR="0081203D">
        <w:rPr>
          <w:szCs w:val="24"/>
        </w:rPr>
        <w:t xml:space="preserve">a descrição da Planilha de Estimativa de Custo do item 7.1 do Anexo I </w:t>
      </w:r>
      <w:r>
        <w:rPr>
          <w:szCs w:val="24"/>
        </w:rPr>
        <w:t>aponta</w:t>
      </w:r>
      <w:r w:rsidR="0081203D">
        <w:rPr>
          <w:szCs w:val="24"/>
        </w:rPr>
        <w:t xml:space="preserve"> apenas</w:t>
      </w:r>
      <w:r>
        <w:rPr>
          <w:szCs w:val="24"/>
        </w:rPr>
        <w:t xml:space="preserve"> que a operadora contratada deverá disponibilizar à contratante, </w:t>
      </w:r>
      <w:r w:rsidR="0081203D">
        <w:rPr>
          <w:i/>
          <w:szCs w:val="24"/>
          <w:u w:val="single"/>
        </w:rPr>
        <w:t>acesso ilimitado via i</w:t>
      </w:r>
      <w:r w:rsidRPr="008A013D">
        <w:rPr>
          <w:i/>
          <w:szCs w:val="24"/>
          <w:u w:val="single"/>
        </w:rPr>
        <w:t>nternet</w:t>
      </w:r>
      <w:r w:rsidR="0081203D">
        <w:rPr>
          <w:i/>
          <w:szCs w:val="24"/>
          <w:u w:val="single"/>
        </w:rPr>
        <w:t>.</w:t>
      </w:r>
    </w:p>
    <w:p w:rsidR="00922C29" w:rsidRDefault="00922C29" w:rsidP="00510EF5">
      <w:pPr>
        <w:ind w:firstLine="0"/>
        <w:outlineLvl w:val="0"/>
      </w:pPr>
    </w:p>
    <w:p w:rsidR="00F02C0F" w:rsidRPr="00645FB6" w:rsidRDefault="00510EF5" w:rsidP="00F02C0F">
      <w:pPr>
        <w:outlineLvl w:val="0"/>
      </w:pPr>
      <w:r>
        <w:t>Diante desta previsão</w:t>
      </w:r>
      <w:r w:rsidR="00922C29">
        <w:t xml:space="preserve">, destaca-se a necessidade de </w:t>
      </w:r>
      <w:r>
        <w:t xml:space="preserve">questionar se está correto o entendimento </w:t>
      </w:r>
      <w:r w:rsidR="00F02C0F">
        <w:t xml:space="preserve">de </w:t>
      </w:r>
      <w:r>
        <w:t xml:space="preserve">que </w:t>
      </w:r>
      <w:r w:rsidRPr="00510EF5">
        <w:t>nos pacotes de dados solicitados, quando a franquia contratada for atingida, será permitida a redução da velocidade de conexão com a continuidade do serviço sem cobrança de tráfego excedente, sendo esta reestablecida no ciclo de faturamento seguinte</w:t>
      </w:r>
      <w:r w:rsidR="00F02C0F">
        <w:t>. Neste norte, requer seja elucidada a questão supracitada.</w:t>
      </w:r>
    </w:p>
    <w:p w:rsidR="001747A5" w:rsidRDefault="001747A5" w:rsidP="001747A5">
      <w:pPr>
        <w:pStyle w:val="PPC"/>
      </w:pPr>
    </w:p>
    <w:p w:rsidR="001747A5" w:rsidRDefault="008133C6" w:rsidP="001747A5">
      <w:pPr>
        <w:pStyle w:val="PPC"/>
        <w:spacing w:line="240" w:lineRule="auto"/>
        <w:ind w:firstLine="0"/>
        <w:rPr>
          <w:b/>
          <w:u w:val="single"/>
        </w:rPr>
      </w:pPr>
      <w:r w:rsidRPr="00B20DA7">
        <w:rPr>
          <w:b/>
          <w:u w:val="single"/>
        </w:rPr>
        <w:t>05</w:t>
      </w:r>
      <w:r w:rsidR="001747A5" w:rsidRPr="00B20DA7">
        <w:rPr>
          <w:b/>
          <w:u w:val="single"/>
        </w:rPr>
        <w:t>. PRAZO EXÍGUO PARA ENTREGA DOS APARELHOS E INÍCIO DA PRESTAÇÃO DO SERVIÇO.</w:t>
      </w:r>
    </w:p>
    <w:p w:rsidR="001747A5" w:rsidRDefault="001747A5" w:rsidP="001747A5">
      <w:pPr>
        <w:pStyle w:val="PPC"/>
      </w:pPr>
    </w:p>
    <w:p w:rsidR="001747A5" w:rsidRPr="00E325F5" w:rsidRDefault="001747A5" w:rsidP="001747A5">
      <w:pPr>
        <w:pStyle w:val="PPC"/>
        <w:rPr>
          <w:rFonts w:ascii="Arial (W1)" w:hAnsi="Arial (W1)"/>
        </w:rPr>
      </w:pPr>
      <w:r w:rsidRPr="00E325F5">
        <w:t xml:space="preserve">Em relação aos aparelhos, verifica-se, ainda, que o </w:t>
      </w:r>
      <w:r w:rsidRPr="00E325F5">
        <w:rPr>
          <w:rFonts w:ascii="Arial (W1)" w:hAnsi="Arial (W1)"/>
        </w:rPr>
        <w:t>prazo de início da prestação dos serviços (o que inclui a entr</w:t>
      </w:r>
      <w:r w:rsidR="00E325F5" w:rsidRPr="00E325F5">
        <w:rPr>
          <w:rFonts w:ascii="Arial (W1)" w:hAnsi="Arial (W1)"/>
        </w:rPr>
        <w:t>ega dos aparelhos) é de apenas 15 (quinze) dias corridos após a assinatura do Contrato</w:t>
      </w:r>
      <w:r w:rsidR="005855D9">
        <w:rPr>
          <w:rFonts w:ascii="Arial (W1)" w:hAnsi="Arial (W1)"/>
        </w:rPr>
        <w:t>.</w:t>
      </w:r>
    </w:p>
    <w:p w:rsidR="001747A5" w:rsidRDefault="001747A5" w:rsidP="001747A5">
      <w:pPr>
        <w:pStyle w:val="PPC"/>
      </w:pPr>
    </w:p>
    <w:p w:rsidR="00E325F5" w:rsidRDefault="001747A5" w:rsidP="001747A5">
      <w:pPr>
        <w:pStyle w:val="PPC"/>
      </w:pPr>
      <w:r>
        <w:t xml:space="preserve">Todavia, </w:t>
      </w:r>
      <w:r>
        <w:rPr>
          <w:b/>
        </w:rPr>
        <w:t>tal prazo é INSUFICIENTE para que os aparelhos celulares possam ser entregues por qualquer operadora</w:t>
      </w:r>
      <w:r>
        <w:t xml:space="preserve">. A exiguidade do prazo pode ser verificada pelo simples fato de que a entrega dos aparelhos celulares - ainda que em disponibilidade imediata - depende de um prazo razoável para cumprimento dos rituais internos da operadora, tais como: solicitação junto ao fornecedor, expedição da ordem de entrega, verificação do estoque, emissão da nota fiscal do produto, frete </w:t>
      </w:r>
      <w:r w:rsidRPr="00E325F5">
        <w:t>para o</w:t>
      </w:r>
      <w:r w:rsidR="00E325F5" w:rsidRPr="00E325F5">
        <w:rPr>
          <w:rFonts w:ascii="Arial (W1)" w:hAnsi="Arial (W1)"/>
        </w:rPr>
        <w:t xml:space="preserve"> Conselho Regional de Nutricionistas da 2ª Região </w:t>
      </w:r>
      <w:r w:rsidRPr="00E325F5">
        <w:t xml:space="preserve">dentre outros. </w:t>
      </w:r>
    </w:p>
    <w:p w:rsidR="00E325F5" w:rsidRDefault="00E325F5" w:rsidP="001747A5">
      <w:pPr>
        <w:pStyle w:val="PPC"/>
      </w:pPr>
    </w:p>
    <w:p w:rsidR="001747A5" w:rsidRDefault="001747A5" w:rsidP="001747A5">
      <w:pPr>
        <w:pStyle w:val="PPC"/>
      </w:pPr>
      <w:r>
        <w:t>Ressalta-se que os aparelhos celulares não são produzidos pela operadora, sendo obtidos junto aos respectivos fabricantes e, ainda que haja uma compra constante, sempre há sujeição a questões mercadológicas que não permitem seja assumido o compromisso de entrega no exíguo prazo indicado no edital.</w:t>
      </w:r>
    </w:p>
    <w:p w:rsidR="001747A5" w:rsidRDefault="001747A5" w:rsidP="001747A5">
      <w:pPr>
        <w:pStyle w:val="PPC"/>
      </w:pPr>
    </w:p>
    <w:p w:rsidR="001747A5" w:rsidRDefault="001747A5" w:rsidP="001747A5">
      <w:pPr>
        <w:pStyle w:val="PPC"/>
      </w:pPr>
      <w:r>
        <w:lastRenderedPageBreak/>
        <w:t>Assim, o prejuízo para a Administração Pública em se manter este curto prazo de entrega dos aparelhos é imenso, dado que inviabilizaria a participação das concorrentes, em função de não ser possível cumprir o lapso de tempo indicado no edital.</w:t>
      </w:r>
    </w:p>
    <w:p w:rsidR="001747A5" w:rsidRDefault="001747A5" w:rsidP="001747A5">
      <w:pPr>
        <w:pStyle w:val="PPC"/>
      </w:pPr>
    </w:p>
    <w:p w:rsidR="001747A5" w:rsidRDefault="001747A5" w:rsidP="001747A5">
      <w:pPr>
        <w:pStyle w:val="PPC"/>
      </w:pPr>
      <w:r>
        <w:t xml:space="preserve">Sob outro prisma, o aumento deste prazo de entrega não acarretará qualquer ônus à Administração Pública, </w:t>
      </w:r>
      <w:r>
        <w:rPr>
          <w:b/>
        </w:rPr>
        <w:t xml:space="preserve">sugerindo-se o </w:t>
      </w:r>
      <w:r w:rsidR="008133C6">
        <w:rPr>
          <w:b/>
          <w:u w:val="single"/>
        </w:rPr>
        <w:t>prazo de 20 (vinte</w:t>
      </w:r>
      <w:r>
        <w:rPr>
          <w:b/>
          <w:u w:val="single"/>
        </w:rPr>
        <w:t>) dias</w:t>
      </w:r>
      <w:r>
        <w:rPr>
          <w:b/>
        </w:rPr>
        <w:t>,</w:t>
      </w:r>
      <w:r>
        <w:t xml:space="preserve"> suficiente para suprir a necessidade administrativa e adequada à possibilidade de cumprimento por parte da futura contratada.</w:t>
      </w:r>
    </w:p>
    <w:p w:rsidR="001747A5" w:rsidRDefault="001747A5" w:rsidP="001747A5">
      <w:pPr>
        <w:pStyle w:val="PPC"/>
      </w:pPr>
    </w:p>
    <w:p w:rsidR="001747A5" w:rsidRDefault="001747A5" w:rsidP="001747A5">
      <w:pPr>
        <w:pStyle w:val="PPC"/>
      </w:pPr>
      <w:r>
        <w:t xml:space="preserve">Vale ressaltar que o não cumprimento do prazo de entrega dos aparelhos induz a aplicação das penalidades contratuais, situação esta que determinaria a opção da operadora por sequer participar da licitação, com restrição da competitividade em função deste fato. </w:t>
      </w:r>
    </w:p>
    <w:p w:rsidR="001747A5" w:rsidRDefault="001747A5" w:rsidP="001747A5">
      <w:pPr>
        <w:pStyle w:val="PPC"/>
      </w:pPr>
    </w:p>
    <w:p w:rsidR="001747A5" w:rsidRDefault="001747A5" w:rsidP="001747A5">
      <w:pPr>
        <w:pStyle w:val="PPC"/>
      </w:pPr>
      <w:r>
        <w:t>Tal restrição à competitividade é absolutamente ilegal, com ferimento direto ao artigo 3.º</w:t>
      </w:r>
      <w:r w:rsidR="0069307D">
        <w:t>, §1.º, inciso I da lei 8666/93.</w:t>
      </w:r>
    </w:p>
    <w:p w:rsidR="009743B0" w:rsidRDefault="009743B0" w:rsidP="00F36050">
      <w:pPr>
        <w:ind w:firstLine="0"/>
        <w:outlineLvl w:val="0"/>
      </w:pPr>
    </w:p>
    <w:p w:rsidR="008B011B" w:rsidRPr="007F1E06" w:rsidRDefault="00726EC9" w:rsidP="008B011B">
      <w:pPr>
        <w:ind w:firstLine="0"/>
        <w:rPr>
          <w:b/>
          <w:snapToGrid w:val="0"/>
          <w:u w:val="single"/>
        </w:rPr>
      </w:pPr>
      <w:r w:rsidRPr="00726EC9">
        <w:rPr>
          <w:b/>
          <w:snapToGrid w:val="0"/>
          <w:u w:val="single"/>
        </w:rPr>
        <w:t>06</w:t>
      </w:r>
      <w:r w:rsidR="008B011B" w:rsidRPr="00726EC9">
        <w:rPr>
          <w:b/>
          <w:snapToGrid w:val="0"/>
          <w:u w:val="single"/>
        </w:rPr>
        <w:t>. PRAZO EXÍGUO PARA ATENDIMENTO DAS SOLICITAÇÕES DE SERVIÇOS.</w:t>
      </w:r>
    </w:p>
    <w:p w:rsidR="008B011B" w:rsidRPr="007F1E06" w:rsidRDefault="008B011B" w:rsidP="008B011B">
      <w:pPr>
        <w:rPr>
          <w:snapToGrid w:val="0"/>
        </w:rPr>
      </w:pPr>
    </w:p>
    <w:p w:rsidR="008B011B" w:rsidRDefault="00973F13" w:rsidP="008B011B">
      <w:pPr>
        <w:rPr>
          <w:snapToGrid w:val="0"/>
          <w:color w:val="auto"/>
        </w:rPr>
      </w:pPr>
      <w:r>
        <w:rPr>
          <w:snapToGrid w:val="0"/>
          <w:color w:val="auto"/>
        </w:rPr>
        <w:t>O item 12.1, alínea ‘y’</w:t>
      </w:r>
      <w:r w:rsidR="008B011B" w:rsidRPr="00B9325F">
        <w:rPr>
          <w:snapToGrid w:val="0"/>
          <w:color w:val="auto"/>
        </w:rPr>
        <w:t xml:space="preserve"> do Anexo I </w:t>
      </w:r>
      <w:r w:rsidR="00430699">
        <w:rPr>
          <w:snapToGrid w:val="0"/>
          <w:color w:val="auto"/>
        </w:rPr>
        <w:t>e Cláusula Sexta, alínea ‘w</w:t>
      </w:r>
      <w:r w:rsidR="008836E2">
        <w:rPr>
          <w:snapToGrid w:val="0"/>
          <w:color w:val="auto"/>
        </w:rPr>
        <w:t xml:space="preserve">’ do Anexo II </w:t>
      </w:r>
      <w:r w:rsidR="008B011B" w:rsidRPr="00B9325F">
        <w:rPr>
          <w:snapToGrid w:val="0"/>
          <w:color w:val="auto"/>
        </w:rPr>
        <w:t>estabelece</w:t>
      </w:r>
      <w:r w:rsidR="008836E2">
        <w:rPr>
          <w:snapToGrid w:val="0"/>
          <w:color w:val="auto"/>
        </w:rPr>
        <w:t>m</w:t>
      </w:r>
      <w:r w:rsidR="008B011B" w:rsidRPr="00B9325F">
        <w:rPr>
          <w:snapToGrid w:val="0"/>
          <w:color w:val="auto"/>
        </w:rPr>
        <w:t xml:space="preserve"> um prazo para</w:t>
      </w:r>
      <w:r w:rsidR="008B011B" w:rsidRPr="00B9325F">
        <w:rPr>
          <w:color w:val="auto"/>
        </w:rPr>
        <w:t xml:space="preserve"> </w:t>
      </w:r>
      <w:r w:rsidR="008B011B" w:rsidRPr="00B9325F">
        <w:rPr>
          <w:snapToGrid w:val="0"/>
          <w:color w:val="auto"/>
        </w:rPr>
        <w:t>atendimento das s</w:t>
      </w:r>
      <w:r w:rsidR="008B011B">
        <w:rPr>
          <w:snapToGrid w:val="0"/>
          <w:color w:val="auto"/>
        </w:rPr>
        <w:t>olicitações de reparo</w:t>
      </w:r>
      <w:r w:rsidR="008B011B" w:rsidRPr="00B9325F">
        <w:rPr>
          <w:snapToGrid w:val="0"/>
          <w:color w:val="auto"/>
        </w:rPr>
        <w:t xml:space="preserve"> de </w:t>
      </w:r>
      <w:r w:rsidRPr="00973F13">
        <w:rPr>
          <w:snapToGrid w:val="0"/>
          <w:color w:val="auto"/>
        </w:rPr>
        <w:t xml:space="preserve">no prazo máximo de 06 (seis) horas, após </w:t>
      </w:r>
      <w:r>
        <w:rPr>
          <w:snapToGrid w:val="0"/>
          <w:color w:val="auto"/>
        </w:rPr>
        <w:t>notificado, qualquer ocorrência</w:t>
      </w:r>
      <w:r w:rsidRPr="00973F13">
        <w:rPr>
          <w:snapToGrid w:val="0"/>
          <w:color w:val="auto"/>
        </w:rPr>
        <w:t xml:space="preserve"> de interrupção na prestação dos serviços contratados, salvo por problemas de maior vulto, devidamente justificados e aceitos pelo Contratante</w:t>
      </w:r>
      <w:r>
        <w:rPr>
          <w:snapToGrid w:val="0"/>
          <w:color w:val="auto"/>
        </w:rPr>
        <w:t>.</w:t>
      </w:r>
    </w:p>
    <w:p w:rsidR="00973F13" w:rsidRPr="007F1E06" w:rsidRDefault="00973F13" w:rsidP="008B011B">
      <w:pPr>
        <w:rPr>
          <w:snapToGrid w:val="0"/>
        </w:rPr>
      </w:pPr>
    </w:p>
    <w:p w:rsidR="008B011B" w:rsidRPr="007F1E06" w:rsidRDefault="008B011B" w:rsidP="008B011B">
      <w:pPr>
        <w:rPr>
          <w:snapToGrid w:val="0"/>
        </w:rPr>
      </w:pPr>
      <w:r w:rsidRPr="007F1E06">
        <w:rPr>
          <w:snapToGrid w:val="0"/>
        </w:rPr>
        <w:t xml:space="preserve">De fato, </w:t>
      </w:r>
      <w:r w:rsidRPr="007F1E06">
        <w:rPr>
          <w:b/>
          <w:snapToGrid w:val="0"/>
        </w:rPr>
        <w:t xml:space="preserve">um prazo de </w:t>
      </w:r>
      <w:r w:rsidRPr="00057475">
        <w:rPr>
          <w:b/>
          <w:snapToGrid w:val="0"/>
          <w:color w:val="auto"/>
        </w:rPr>
        <w:t xml:space="preserve">apenas </w:t>
      </w:r>
      <w:r w:rsidR="00973F13">
        <w:rPr>
          <w:b/>
          <w:snapToGrid w:val="0"/>
          <w:color w:val="auto"/>
        </w:rPr>
        <w:t>06</w:t>
      </w:r>
      <w:r w:rsidRPr="00057475">
        <w:rPr>
          <w:rFonts w:ascii="Arial (W1)" w:hAnsi="Arial (W1)"/>
          <w:b/>
          <w:snapToGrid w:val="0"/>
          <w:color w:val="auto"/>
        </w:rPr>
        <w:t xml:space="preserve"> (</w:t>
      </w:r>
      <w:r w:rsidR="00973F13">
        <w:rPr>
          <w:rFonts w:ascii="Arial (W1)" w:hAnsi="Arial (W1)"/>
          <w:b/>
          <w:snapToGrid w:val="0"/>
          <w:color w:val="auto"/>
        </w:rPr>
        <w:t>seis</w:t>
      </w:r>
      <w:r w:rsidRPr="00057475">
        <w:rPr>
          <w:rFonts w:ascii="Arial (W1)" w:hAnsi="Arial (W1)"/>
          <w:b/>
          <w:snapToGrid w:val="0"/>
          <w:color w:val="auto"/>
        </w:rPr>
        <w:t>) horas</w:t>
      </w:r>
      <w:r w:rsidRPr="00057475">
        <w:rPr>
          <w:b/>
          <w:snapToGrid w:val="0"/>
          <w:color w:val="auto"/>
        </w:rPr>
        <w:t xml:space="preserve"> é </w:t>
      </w:r>
      <w:r w:rsidRPr="007F1E06">
        <w:rPr>
          <w:b/>
          <w:snapToGrid w:val="0"/>
        </w:rPr>
        <w:t>INSUFICIENTE para finalização dos reparos ou correção de falhas por ventura existentes</w:t>
      </w:r>
      <w:r w:rsidRPr="007F1E06">
        <w:rPr>
          <w:snapToGrid w:val="0"/>
        </w:rPr>
        <w:t>, especialmente pelo fato de que a complexidade da questão pode exigir um prazo maior para que a questão seja solucionada.</w:t>
      </w:r>
    </w:p>
    <w:p w:rsidR="008B011B" w:rsidRPr="007F1E06" w:rsidRDefault="008B011B" w:rsidP="00040E5A">
      <w:pPr>
        <w:ind w:firstLine="0"/>
        <w:rPr>
          <w:snapToGrid w:val="0"/>
        </w:rPr>
      </w:pPr>
    </w:p>
    <w:p w:rsidR="008B011B" w:rsidRPr="007F1E06" w:rsidRDefault="008B011B" w:rsidP="008B011B">
      <w:pPr>
        <w:rPr>
          <w:snapToGrid w:val="0"/>
        </w:rPr>
      </w:pPr>
      <w:r w:rsidRPr="007F1E06">
        <w:rPr>
          <w:snapToGrid w:val="0"/>
        </w:rPr>
        <w:t xml:space="preserve">O prejuízo para a Administração Pública em se manter este curto prazo para reparos ou correção de falhas é imenso, dado que inviabilizaria a participação das concorrentes, em função de não ser possível cumprir o lapso de tempo indicado no edital. </w:t>
      </w:r>
    </w:p>
    <w:p w:rsidR="008B011B" w:rsidRDefault="008B011B" w:rsidP="00973F13">
      <w:pPr>
        <w:ind w:firstLine="0"/>
        <w:rPr>
          <w:snapToGrid w:val="0"/>
        </w:rPr>
      </w:pPr>
    </w:p>
    <w:p w:rsidR="008B011B" w:rsidRPr="007F1E06" w:rsidRDefault="008B011B" w:rsidP="008B011B">
      <w:pPr>
        <w:rPr>
          <w:snapToGrid w:val="0"/>
        </w:rPr>
      </w:pPr>
      <w:r w:rsidRPr="007F1E06">
        <w:rPr>
          <w:snapToGrid w:val="0"/>
        </w:rPr>
        <w:t>Destarte</w:t>
      </w:r>
      <w:r>
        <w:rPr>
          <w:snapToGrid w:val="0"/>
        </w:rPr>
        <w:t>,</w:t>
      </w:r>
      <w:r w:rsidRPr="007F1E06">
        <w:rPr>
          <w:snapToGrid w:val="0"/>
        </w:rPr>
        <w:t xml:space="preserve"> é fundamental ressaltar que </w:t>
      </w:r>
      <w:r>
        <w:rPr>
          <w:snapToGrid w:val="0"/>
        </w:rPr>
        <w:t>as Operadoras são</w:t>
      </w:r>
      <w:r w:rsidRPr="00E81541">
        <w:rPr>
          <w:snapToGrid w:val="0"/>
        </w:rPr>
        <w:t xml:space="preserve"> regulamentada</w:t>
      </w:r>
      <w:r>
        <w:rPr>
          <w:snapToGrid w:val="0"/>
        </w:rPr>
        <w:t>s</w:t>
      </w:r>
      <w:r w:rsidRPr="00E81541">
        <w:rPr>
          <w:snapToGrid w:val="0"/>
        </w:rPr>
        <w:t xml:space="preserve"> pelos padrões e normas da ANATEL quanto à qualidade e </w:t>
      </w:r>
      <w:r w:rsidRPr="00E81541">
        <w:rPr>
          <w:snapToGrid w:val="0"/>
        </w:rPr>
        <w:lastRenderedPageBreak/>
        <w:t>disponibilidade do serviço de telefonia móvel, atendendo às especificações e indicadores exigidos pela agência reguladora.</w:t>
      </w:r>
    </w:p>
    <w:p w:rsidR="008B011B" w:rsidRPr="007F1E06" w:rsidRDefault="008B011B" w:rsidP="008B011B">
      <w:pPr>
        <w:rPr>
          <w:snapToGrid w:val="0"/>
        </w:rPr>
      </w:pPr>
    </w:p>
    <w:p w:rsidR="008B011B" w:rsidRPr="007F1E06" w:rsidRDefault="008B011B" w:rsidP="008B011B">
      <w:pPr>
        <w:rPr>
          <w:snapToGrid w:val="0"/>
        </w:rPr>
      </w:pPr>
      <w:r w:rsidRPr="007F1E06">
        <w:rPr>
          <w:snapToGrid w:val="0"/>
        </w:rPr>
        <w:t>Vale ressaltar que o não cumprimento do</w:t>
      </w:r>
      <w:r>
        <w:rPr>
          <w:snapToGrid w:val="0"/>
        </w:rPr>
        <w:t>s</w:t>
      </w:r>
      <w:r w:rsidRPr="007F1E06">
        <w:rPr>
          <w:snapToGrid w:val="0"/>
        </w:rPr>
        <w:t xml:space="preserve"> prazo</w:t>
      </w:r>
      <w:r>
        <w:rPr>
          <w:snapToGrid w:val="0"/>
        </w:rPr>
        <w:t>s</w:t>
      </w:r>
      <w:r w:rsidRPr="007F1E06">
        <w:rPr>
          <w:snapToGrid w:val="0"/>
        </w:rPr>
        <w:t xml:space="preserve"> de atendimento</w:t>
      </w:r>
      <w:r>
        <w:rPr>
          <w:snapToGrid w:val="0"/>
        </w:rPr>
        <w:t>s</w:t>
      </w:r>
      <w:r w:rsidRPr="007F1E06">
        <w:rPr>
          <w:snapToGrid w:val="0"/>
        </w:rPr>
        <w:t xml:space="preserve"> das solicitações induz a aplicação das penalidades contratuais, situação esta que determinaria a opção da operadora por sequer participar da licitação, com restrição da competitividade em função deste fato. Tal restrição à competitividade é absolutamente ilegal.</w:t>
      </w:r>
    </w:p>
    <w:p w:rsidR="00340803" w:rsidRDefault="00340803" w:rsidP="00F36050">
      <w:pPr>
        <w:ind w:firstLine="0"/>
        <w:outlineLvl w:val="0"/>
      </w:pPr>
    </w:p>
    <w:p w:rsidR="0040514E" w:rsidRDefault="0040514E" w:rsidP="0040514E">
      <w:pPr>
        <w:pStyle w:val="PPC"/>
        <w:spacing w:line="240" w:lineRule="auto"/>
        <w:ind w:firstLine="0"/>
        <w:rPr>
          <w:b/>
          <w:u w:val="single"/>
        </w:rPr>
      </w:pPr>
      <w:r>
        <w:rPr>
          <w:b/>
          <w:u w:val="single"/>
        </w:rPr>
        <w:t>07. AUSÊNCIA DE RESPONSABILIDADE DA CONTRATADA EM CASO DE ROUBO OU FURTO. PRAZO EXÍGUO PARA SUBSTITUIÇÃO DOS APARELHOS.</w:t>
      </w:r>
    </w:p>
    <w:p w:rsidR="0040514E" w:rsidRDefault="0040514E" w:rsidP="0040514E"/>
    <w:p w:rsidR="0040514E" w:rsidRDefault="0040514E" w:rsidP="0040514E">
      <w:pPr>
        <w:pStyle w:val="PPC"/>
      </w:pPr>
      <w:r>
        <w:t>O item 1.2, alínea ‘z’ do Anexo I preconiza:</w:t>
      </w:r>
    </w:p>
    <w:p w:rsidR="0040514E" w:rsidRDefault="0040514E" w:rsidP="0040514E">
      <w:pPr>
        <w:pStyle w:val="PPC"/>
      </w:pPr>
    </w:p>
    <w:p w:rsidR="0040514E" w:rsidRDefault="0040514E" w:rsidP="0040514E">
      <w:pPr>
        <w:pStyle w:val="Citao"/>
      </w:pPr>
      <w:r>
        <w:t>z) efetuar a substituição de quaisquer dos equipamentos oferecidos ao CRN-2, sem ônus, em caso de roubo ou furto, mediante a apresentação do correspondente Boletim de Ocorrência Policial;</w:t>
      </w:r>
    </w:p>
    <w:p w:rsidR="0040514E" w:rsidRPr="0040514E" w:rsidRDefault="0040514E" w:rsidP="0040514E"/>
    <w:p w:rsidR="0040514E" w:rsidRDefault="0040514E" w:rsidP="0040514E">
      <w:pPr>
        <w:pStyle w:val="PPC"/>
      </w:pPr>
      <w:r>
        <w:t>Todavia, eventual imputação de responsabilidade à contratada, no decorrer da relação contratual, é absolutamente inviável, dado que o custo da futura contratada pode, sim, ser mensurado quanto ao fornecimento inicial gratuito das linhas de telefonia, mas, não, por eventuais furtos e roubos ocorridos no curso do contrato.</w:t>
      </w:r>
    </w:p>
    <w:p w:rsidR="0040514E" w:rsidRDefault="0040514E" w:rsidP="0040514E">
      <w:pPr>
        <w:pStyle w:val="PPC"/>
      </w:pPr>
    </w:p>
    <w:p w:rsidR="0040514E" w:rsidRDefault="0040514E" w:rsidP="0040514E">
      <w:pPr>
        <w:pStyle w:val="PPC"/>
      </w:pPr>
      <w:r>
        <w:t xml:space="preserve">Tal situação, à evidência, ainda que por fato de terceiros, </w:t>
      </w:r>
      <w:r>
        <w:rPr>
          <w:b/>
        </w:rPr>
        <w:t>não pode onerar o prestador de serviços, cuja responsabilidade se limita a disponibilizar o serviço de ligações, mas não utilizar recursos próprios na hipótese de ocorrer eventuais furtos, roubos ou extravios de aparelhos utilizados pelos servidores da contratante</w:t>
      </w:r>
      <w:r>
        <w:t>.</w:t>
      </w:r>
    </w:p>
    <w:p w:rsidR="0040514E" w:rsidRDefault="0040514E" w:rsidP="0040514E">
      <w:pPr>
        <w:pStyle w:val="PPC"/>
      </w:pPr>
    </w:p>
    <w:p w:rsidR="0040514E" w:rsidRDefault="0040514E" w:rsidP="0040514E">
      <w:pPr>
        <w:pStyle w:val="PPC"/>
        <w:ind w:firstLine="0"/>
      </w:pPr>
      <w:r>
        <w:tab/>
      </w:r>
      <w:r>
        <w:tab/>
        <w:t xml:space="preserve">A disponibilização do aparelho poderá, sim, ser assumido pela operadora de telefonia celular; entretanto, o </w:t>
      </w:r>
      <w:r>
        <w:rPr>
          <w:b/>
        </w:rPr>
        <w:t>custo deste aparelho “substituto” deverá ser assumido pela Administração Pública (ou pelo usuário), da mesma forma como deve ocorrer em relação aos danos pelo uso indevido</w:t>
      </w:r>
      <w:r>
        <w:t>.</w:t>
      </w:r>
    </w:p>
    <w:p w:rsidR="0040514E" w:rsidRPr="00D8706B" w:rsidRDefault="0040514E" w:rsidP="0040514E">
      <w:pPr>
        <w:rPr>
          <w:rFonts w:ascii="Arial Unicode MS" w:eastAsia="Arial Unicode MS" w:hAnsi="Arial Unicode MS"/>
          <w:b/>
          <w:color w:val="auto"/>
          <w:sz w:val="20"/>
        </w:rPr>
      </w:pPr>
    </w:p>
    <w:p w:rsidR="0040514E" w:rsidRDefault="0040514E" w:rsidP="0040514E">
      <w:pPr>
        <w:pStyle w:val="PPC"/>
      </w:pPr>
      <w:r w:rsidRPr="00D8706B">
        <w:t xml:space="preserve">Neste </w:t>
      </w:r>
      <w:r>
        <w:t>contexto, não é possível imputar à operadora a responsabilidade financeira pelos aparelhos em caso de furto ou roubo, devendo ser alterado o edital neste aspecto.</w:t>
      </w:r>
    </w:p>
    <w:p w:rsidR="00F32BB8" w:rsidRDefault="00F32BB8" w:rsidP="00F36050">
      <w:pPr>
        <w:ind w:firstLine="0"/>
        <w:outlineLvl w:val="0"/>
      </w:pPr>
    </w:p>
    <w:p w:rsidR="000B3285" w:rsidRPr="001E0445" w:rsidRDefault="000B3285" w:rsidP="000B3285">
      <w:pPr>
        <w:ind w:firstLine="0"/>
        <w:rPr>
          <w:b/>
          <w:snapToGrid w:val="0"/>
          <w:u w:val="single"/>
          <w:lang w:eastAsia="en-US"/>
        </w:rPr>
      </w:pPr>
      <w:r>
        <w:rPr>
          <w:b/>
          <w:snapToGrid w:val="0"/>
          <w:u w:val="single"/>
          <w:lang w:eastAsia="en-US"/>
        </w:rPr>
        <w:lastRenderedPageBreak/>
        <w:t xml:space="preserve">08. </w:t>
      </w:r>
      <w:r w:rsidRPr="001E0445">
        <w:rPr>
          <w:b/>
          <w:snapToGrid w:val="0"/>
          <w:u w:val="single"/>
          <w:lang w:eastAsia="en-US"/>
        </w:rPr>
        <w:t xml:space="preserve">AUSÊNCIA DE PLANILHA DETALHADA DE FORMAÇÃO DE PREÇOS. </w:t>
      </w:r>
      <w:r w:rsidR="00F219E1">
        <w:rPr>
          <w:b/>
          <w:snapToGrid w:val="0"/>
          <w:u w:val="single"/>
          <w:lang w:eastAsia="en-US"/>
        </w:rPr>
        <w:t>NA MINUTA DO CONTRATO.</w:t>
      </w:r>
    </w:p>
    <w:p w:rsidR="000B3285" w:rsidRPr="001E0445" w:rsidRDefault="000B3285" w:rsidP="000B3285"/>
    <w:p w:rsidR="000B3285" w:rsidRDefault="000B3285" w:rsidP="000B3285">
      <w:pPr>
        <w:rPr>
          <w:snapToGrid w:val="0"/>
          <w:lang w:eastAsia="en-US"/>
        </w:rPr>
      </w:pPr>
      <w:r w:rsidRPr="001E0445">
        <w:rPr>
          <w:snapToGrid w:val="0"/>
          <w:lang w:eastAsia="en-US"/>
        </w:rPr>
        <w:t xml:space="preserve">O </w:t>
      </w:r>
      <w:r w:rsidR="00F219E1">
        <w:rPr>
          <w:snapToGrid w:val="0"/>
          <w:lang w:eastAsia="en-US"/>
        </w:rPr>
        <w:t xml:space="preserve">edital </w:t>
      </w:r>
      <w:r w:rsidRPr="001E0445">
        <w:rPr>
          <w:snapToGrid w:val="0"/>
          <w:lang w:eastAsia="en-US"/>
        </w:rPr>
        <w:t>apresentou um modelo de PLANILHA</w:t>
      </w:r>
      <w:r>
        <w:rPr>
          <w:snapToGrid w:val="0"/>
          <w:lang w:eastAsia="en-US"/>
        </w:rPr>
        <w:t xml:space="preserve"> </w:t>
      </w:r>
      <w:r w:rsidR="00F219E1">
        <w:rPr>
          <w:snapToGrid w:val="0"/>
          <w:lang w:eastAsia="en-US"/>
        </w:rPr>
        <w:t>de formação de preços</w:t>
      </w:r>
      <w:r w:rsidR="00073E05">
        <w:rPr>
          <w:snapToGrid w:val="0"/>
          <w:lang w:eastAsia="en-US"/>
        </w:rPr>
        <w:t xml:space="preserve"> – Anexo V</w:t>
      </w:r>
      <w:r w:rsidR="00F219E1">
        <w:rPr>
          <w:snapToGrid w:val="0"/>
          <w:lang w:eastAsia="en-US"/>
        </w:rPr>
        <w:t>, sem, contudo, inclui-la na Minuta do Contrato.</w:t>
      </w:r>
    </w:p>
    <w:p w:rsidR="00F219E1" w:rsidRPr="001E0445" w:rsidRDefault="00F219E1" w:rsidP="000B3285">
      <w:pPr>
        <w:rPr>
          <w:b/>
          <w:snapToGrid w:val="0"/>
          <w:u w:val="single"/>
          <w:lang w:eastAsia="en-US"/>
        </w:rPr>
      </w:pPr>
    </w:p>
    <w:p w:rsidR="000B3285" w:rsidRPr="001E0445" w:rsidRDefault="000B3285" w:rsidP="000B3285">
      <w:pPr>
        <w:tabs>
          <w:tab w:val="left" w:pos="4500"/>
        </w:tabs>
        <w:rPr>
          <w:snapToGrid w:val="0"/>
          <w:lang w:eastAsia="en-US"/>
        </w:rPr>
      </w:pPr>
      <w:r w:rsidRPr="001E0445">
        <w:rPr>
          <w:snapToGrid w:val="0"/>
          <w:lang w:eastAsia="en-US"/>
        </w:rPr>
        <w:t xml:space="preserve">Destarte, a planilha detalhada é essencial não apenas para a </w:t>
      </w:r>
      <w:r w:rsidRPr="001E0445">
        <w:rPr>
          <w:b/>
          <w:snapToGrid w:val="0"/>
          <w:lang w:eastAsia="en-US"/>
        </w:rPr>
        <w:t>indicação da forma de apresentação da proposta por parte do licitante</w:t>
      </w:r>
      <w:r w:rsidRPr="001E0445">
        <w:rPr>
          <w:snapToGrid w:val="0"/>
          <w:lang w:eastAsia="en-US"/>
        </w:rPr>
        <w:t>, como também para que, no curso do certame, se possa verificar eventual exequibilidade dos preços propostos, inclusive em relação a todos os componentes que repercutem na formação do preço final.</w:t>
      </w:r>
    </w:p>
    <w:p w:rsidR="000B3285" w:rsidRPr="001E0445" w:rsidRDefault="000B3285" w:rsidP="000B3285">
      <w:pPr>
        <w:tabs>
          <w:tab w:val="left" w:pos="4500"/>
        </w:tabs>
        <w:rPr>
          <w:snapToGrid w:val="0"/>
          <w:lang w:eastAsia="en-US"/>
        </w:rPr>
      </w:pPr>
    </w:p>
    <w:p w:rsidR="000B3285" w:rsidRDefault="000B3285" w:rsidP="00F219E1">
      <w:pPr>
        <w:tabs>
          <w:tab w:val="left" w:pos="4500"/>
        </w:tabs>
        <w:rPr>
          <w:snapToGrid w:val="0"/>
          <w:lang w:eastAsia="en-US"/>
        </w:rPr>
      </w:pPr>
      <w:r w:rsidRPr="001E0445">
        <w:rPr>
          <w:snapToGrid w:val="0"/>
          <w:lang w:eastAsia="en-US"/>
        </w:rPr>
        <w:t>Esta discriminação é, também, fundamental para que, posteriormente, no curso do contrato, possa ser avaliada, com critério, eventual necessidade de revisão do equilíbrio econômico-financeiro, de modo a que a repercussão no valor ocorra sobre aquele item do preço que tenha sofrido alteração, tal como, por exemplo, um acréscimo de impostos ou de quaisquer insumos que alterem o preço final do serviço prestado.</w:t>
      </w:r>
    </w:p>
    <w:p w:rsidR="00F219E1" w:rsidRPr="001E0445" w:rsidRDefault="00F219E1" w:rsidP="00F219E1">
      <w:pPr>
        <w:tabs>
          <w:tab w:val="left" w:pos="4500"/>
        </w:tabs>
        <w:rPr>
          <w:snapToGrid w:val="0"/>
          <w:lang w:eastAsia="en-US"/>
        </w:rPr>
      </w:pPr>
    </w:p>
    <w:p w:rsidR="000B3285" w:rsidRDefault="00F219E1" w:rsidP="000B3285">
      <w:pPr>
        <w:rPr>
          <w:snapToGrid w:val="0"/>
          <w:lang w:eastAsia="en-US"/>
        </w:rPr>
      </w:pPr>
      <w:r>
        <w:rPr>
          <w:snapToGrid w:val="0"/>
          <w:lang w:eastAsia="en-US"/>
        </w:rPr>
        <w:t xml:space="preserve">Deste modo, </w:t>
      </w:r>
      <w:r w:rsidR="000B3285" w:rsidRPr="001E0445">
        <w:rPr>
          <w:snapToGrid w:val="0"/>
          <w:lang w:eastAsia="en-US"/>
        </w:rPr>
        <w:t xml:space="preserve">a planilha de composição dos preços ofertados, </w:t>
      </w:r>
      <w:r w:rsidR="000B3285">
        <w:rPr>
          <w:snapToGrid w:val="0"/>
          <w:lang w:eastAsia="en-US"/>
        </w:rPr>
        <w:t>com a cotação e todos os serviços objetos de contratação</w:t>
      </w:r>
      <w:r w:rsidR="000B3285" w:rsidRPr="001E0445">
        <w:rPr>
          <w:snapToGrid w:val="0"/>
          <w:lang w:eastAsia="en-US"/>
        </w:rPr>
        <w:t>, é</w:t>
      </w:r>
      <w:r>
        <w:rPr>
          <w:snapToGrid w:val="0"/>
          <w:lang w:eastAsia="en-US"/>
        </w:rPr>
        <w:t xml:space="preserve"> item fundamental na Minuta do Contrato e, portanto, vem a presente Operadora requerer que a mesma seja incluída na Minuta Contratual.</w:t>
      </w:r>
    </w:p>
    <w:p w:rsidR="000B3285" w:rsidRDefault="000B3285" w:rsidP="00F36050">
      <w:pPr>
        <w:ind w:firstLine="0"/>
        <w:outlineLvl w:val="0"/>
      </w:pPr>
    </w:p>
    <w:p w:rsidR="00F36050" w:rsidRPr="00F36050" w:rsidRDefault="00F36050" w:rsidP="00F36050">
      <w:pPr>
        <w:ind w:firstLine="0"/>
        <w:outlineLvl w:val="0"/>
        <w:rPr>
          <w:b/>
          <w:bCs/>
          <w:color w:val="auto"/>
          <w:kern w:val="28"/>
          <w:szCs w:val="24"/>
          <w:u w:val="single"/>
          <w:lang w:eastAsia="ar-SA"/>
        </w:rPr>
      </w:pPr>
      <w:r w:rsidRPr="00F36050">
        <w:rPr>
          <w:b/>
          <w:bCs/>
          <w:color w:val="auto"/>
          <w:kern w:val="28"/>
          <w:szCs w:val="24"/>
          <w:u w:val="single"/>
          <w:lang w:eastAsia="ar-SA"/>
        </w:rPr>
        <w:t xml:space="preserve">IV - REQUERIMENTOS. </w:t>
      </w:r>
    </w:p>
    <w:p w:rsidR="00F36050" w:rsidRPr="00F36050" w:rsidRDefault="00F36050" w:rsidP="00F36050">
      <w:pPr>
        <w:rPr>
          <w:snapToGrid w:val="0"/>
        </w:rPr>
      </w:pPr>
    </w:p>
    <w:p w:rsidR="00F36050" w:rsidRPr="00F36050" w:rsidRDefault="00F36050" w:rsidP="00F36050">
      <w:pPr>
        <w:rPr>
          <w:snapToGrid w:val="0"/>
        </w:rPr>
      </w:pPr>
      <w:r w:rsidRPr="00F36050">
        <w:rPr>
          <w:snapToGrid w:val="0"/>
        </w:rPr>
        <w:t xml:space="preserve">Em síntese, requer sejam analisados os pontos detalhados nesta impugnação, com a </w:t>
      </w:r>
      <w:r w:rsidRPr="00F36050">
        <w:rPr>
          <w:b/>
          <w:snapToGrid w:val="0"/>
        </w:rPr>
        <w:t>correção necessária</w:t>
      </w:r>
      <w:r w:rsidRPr="00F36050">
        <w:rPr>
          <w:snapToGrid w:val="0"/>
        </w:rPr>
        <w:t xml:space="preserve"> do ato convocatório para que se afaste qualquer antijuridicidade que macule todo o procedimento que se iniciará.</w:t>
      </w:r>
    </w:p>
    <w:p w:rsidR="00F36050" w:rsidRPr="00F36050" w:rsidRDefault="00F36050" w:rsidP="00F36050">
      <w:pPr>
        <w:rPr>
          <w:snapToGrid w:val="0"/>
        </w:rPr>
      </w:pPr>
    </w:p>
    <w:p w:rsidR="00F36050" w:rsidRPr="00F36050" w:rsidRDefault="00F36050" w:rsidP="00F36050">
      <w:pPr>
        <w:rPr>
          <w:snapToGrid w:val="0"/>
        </w:rPr>
      </w:pPr>
      <w:r w:rsidRPr="00F36050">
        <w:rPr>
          <w:snapToGrid w:val="0"/>
          <w:color w:val="auto"/>
        </w:rPr>
        <w:t>Tendo em vista que a sessã</w:t>
      </w:r>
      <w:r w:rsidR="009D7225">
        <w:rPr>
          <w:snapToGrid w:val="0"/>
          <w:color w:val="auto"/>
        </w:rPr>
        <w:t xml:space="preserve">o pública está </w:t>
      </w:r>
      <w:r w:rsidR="001A5421">
        <w:rPr>
          <w:snapToGrid w:val="0"/>
          <w:color w:val="auto"/>
        </w:rPr>
        <w:t>designada para 25</w:t>
      </w:r>
      <w:r w:rsidR="007747A7">
        <w:rPr>
          <w:snapToGrid w:val="0"/>
          <w:color w:val="auto"/>
        </w:rPr>
        <w:t>/09</w:t>
      </w:r>
      <w:r w:rsidR="0009615D">
        <w:rPr>
          <w:snapToGrid w:val="0"/>
          <w:color w:val="auto"/>
        </w:rPr>
        <w:t>/2017</w:t>
      </w:r>
      <w:r w:rsidRPr="00F36050">
        <w:rPr>
          <w:snapToGrid w:val="0"/>
          <w:color w:val="auto"/>
        </w:rPr>
        <w:t xml:space="preserve">, </w:t>
      </w:r>
      <w:r w:rsidRPr="00F36050">
        <w:rPr>
          <w:snapToGrid w:val="0"/>
        </w:rPr>
        <w:t xml:space="preserve">requer, ainda, seja conferido </w:t>
      </w:r>
      <w:r w:rsidRPr="00F36050">
        <w:rPr>
          <w:b/>
          <w:snapToGrid w:val="0"/>
        </w:rPr>
        <w:t>efeito suspensivo</w:t>
      </w:r>
      <w:r w:rsidRPr="00F36050">
        <w:rPr>
          <w:snapToGrid w:val="0"/>
        </w:rPr>
        <w:t xml:space="preserve"> a esta impugnação, adiando-se a referida sessão para data posterior à solução dos problemas ora apontados. Caso contrário, há o iminente risco de todo processo licitatório ser considerado inválido, sustentados os equívocos no edital ora apontados, com desperdício da atividade ocorrida na sessão pública, incluindo avaliação das propostas e dos documentos de habilitação.</w:t>
      </w:r>
    </w:p>
    <w:p w:rsidR="00F36050" w:rsidRPr="00F36050" w:rsidRDefault="00F36050" w:rsidP="00F36050">
      <w:pPr>
        <w:rPr>
          <w:snapToGrid w:val="0"/>
        </w:rPr>
      </w:pPr>
    </w:p>
    <w:p w:rsidR="00F36050" w:rsidRPr="00F36050" w:rsidRDefault="00F36050" w:rsidP="00F36050">
      <w:pPr>
        <w:rPr>
          <w:snapToGrid w:val="0"/>
        </w:rPr>
      </w:pPr>
      <w:r w:rsidRPr="00F36050">
        <w:rPr>
          <w:snapToGrid w:val="0"/>
        </w:rPr>
        <w:lastRenderedPageBreak/>
        <w:t>Requer, caso não corrigido o instrumento convocatório nos pontos ora invocados, seja mantida a irresignação da ora impugnante, para posterior juízo de anulação por parte da autoridade competente para tanto.</w:t>
      </w:r>
    </w:p>
    <w:p w:rsidR="00F36050" w:rsidRPr="00F36050" w:rsidRDefault="00F36050" w:rsidP="00F36050">
      <w:pPr>
        <w:rPr>
          <w:snapToGrid w:val="0"/>
        </w:rPr>
      </w:pPr>
    </w:p>
    <w:p w:rsidR="00F36050" w:rsidRPr="00F36050" w:rsidRDefault="00F36050" w:rsidP="00F36050">
      <w:pPr>
        <w:rPr>
          <w:snapToGrid w:val="0"/>
        </w:rPr>
      </w:pPr>
      <w:r w:rsidRPr="00F36050">
        <w:rPr>
          <w:snapToGrid w:val="0"/>
        </w:rPr>
        <w:t>Pelo que</w:t>
      </w:r>
      <w:r w:rsidRPr="00F36050">
        <w:rPr>
          <w:b/>
          <w:snapToGrid w:val="0"/>
        </w:rPr>
        <w:t xml:space="preserve"> PEDE DEFERIMENTO</w:t>
      </w:r>
      <w:r w:rsidRPr="00F36050">
        <w:rPr>
          <w:snapToGrid w:val="0"/>
        </w:rPr>
        <w:t>,</w:t>
      </w:r>
    </w:p>
    <w:p w:rsidR="00F36050" w:rsidRPr="00F36050" w:rsidRDefault="00F36050" w:rsidP="00F36050">
      <w:pPr>
        <w:rPr>
          <w:b/>
          <w:snapToGrid w:val="0"/>
        </w:rPr>
      </w:pPr>
    </w:p>
    <w:p w:rsidR="00F36050" w:rsidRPr="00F36050" w:rsidRDefault="008A328A" w:rsidP="00F36050">
      <w:pPr>
        <w:ind w:firstLine="0"/>
        <w:jc w:val="right"/>
        <w:rPr>
          <w:snapToGrid w:val="0"/>
          <w:color w:val="auto"/>
          <w:szCs w:val="24"/>
          <w:lang w:eastAsia="en-US"/>
        </w:rPr>
      </w:pPr>
      <w:r>
        <w:rPr>
          <w:snapToGrid w:val="0"/>
          <w:color w:val="auto"/>
          <w:szCs w:val="24"/>
          <w:lang w:eastAsia="en-US"/>
        </w:rPr>
        <w:t>Porto Alegre/RS</w:t>
      </w:r>
      <w:r w:rsidR="00F219E1">
        <w:rPr>
          <w:snapToGrid w:val="0"/>
          <w:color w:val="auto"/>
          <w:szCs w:val="24"/>
          <w:lang w:eastAsia="en-US"/>
        </w:rPr>
        <w:t>, 20</w:t>
      </w:r>
      <w:r w:rsidR="00461A8C">
        <w:rPr>
          <w:snapToGrid w:val="0"/>
          <w:color w:val="auto"/>
          <w:szCs w:val="24"/>
          <w:lang w:eastAsia="en-US"/>
        </w:rPr>
        <w:t xml:space="preserve"> </w:t>
      </w:r>
      <w:r w:rsidR="001A5421">
        <w:rPr>
          <w:snapToGrid w:val="0"/>
          <w:color w:val="auto"/>
          <w:szCs w:val="24"/>
          <w:lang w:eastAsia="en-US"/>
        </w:rPr>
        <w:t>de setembro</w:t>
      </w:r>
      <w:r w:rsidR="00D05CAC">
        <w:rPr>
          <w:snapToGrid w:val="0"/>
          <w:color w:val="auto"/>
          <w:szCs w:val="24"/>
          <w:lang w:eastAsia="en-US"/>
        </w:rPr>
        <w:t xml:space="preserve"> de 2017</w:t>
      </w:r>
      <w:r w:rsidR="00F36050" w:rsidRPr="00F36050">
        <w:rPr>
          <w:snapToGrid w:val="0"/>
          <w:color w:val="auto"/>
          <w:szCs w:val="24"/>
          <w:lang w:eastAsia="en-US"/>
        </w:rPr>
        <w:t>.</w:t>
      </w:r>
    </w:p>
    <w:p w:rsidR="00F36050" w:rsidRPr="00F36050" w:rsidRDefault="00F36050" w:rsidP="00F36050">
      <w:pPr>
        <w:rPr>
          <w:snapToGrid w:val="0"/>
          <w:color w:val="auto"/>
          <w:szCs w:val="24"/>
          <w:lang w:eastAsia="en-US"/>
        </w:rPr>
      </w:pPr>
    </w:p>
    <w:p w:rsidR="00F36050" w:rsidRPr="00F36050" w:rsidRDefault="00F36050" w:rsidP="00F36050">
      <w:pPr>
        <w:ind w:firstLine="0"/>
        <w:jc w:val="center"/>
        <w:rPr>
          <w:snapToGrid w:val="0"/>
        </w:rPr>
      </w:pPr>
      <w:r w:rsidRPr="00F36050">
        <w:rPr>
          <w:b/>
          <w:bCs/>
          <w:snapToGrid w:val="0"/>
        </w:rPr>
        <w:t>TELEFONICA BRASIL S/A</w:t>
      </w:r>
    </w:p>
    <w:p w:rsidR="00F36050" w:rsidRPr="00F36050" w:rsidRDefault="00F36050" w:rsidP="00F36050">
      <w:pPr>
        <w:ind w:firstLine="0"/>
        <w:rPr>
          <w:snapToGrid w:val="0"/>
        </w:rPr>
      </w:pPr>
    </w:p>
    <w:p w:rsidR="00F36050" w:rsidRPr="00F36050" w:rsidRDefault="00F36050" w:rsidP="00F36050">
      <w:pPr>
        <w:ind w:firstLine="0"/>
        <w:rPr>
          <w:snapToGrid w:val="0"/>
        </w:rPr>
      </w:pPr>
      <w:r w:rsidRPr="00F36050">
        <w:rPr>
          <w:snapToGrid w:val="0"/>
        </w:rPr>
        <w:t>Nome do procurador:</w:t>
      </w:r>
    </w:p>
    <w:p w:rsidR="00F36050" w:rsidRPr="00F36050" w:rsidRDefault="00F36050" w:rsidP="00F36050">
      <w:pPr>
        <w:ind w:firstLine="0"/>
        <w:rPr>
          <w:snapToGrid w:val="0"/>
        </w:rPr>
      </w:pPr>
      <w:r w:rsidRPr="00F36050">
        <w:rPr>
          <w:snapToGrid w:val="0"/>
        </w:rPr>
        <w:t>RG:</w:t>
      </w:r>
    </w:p>
    <w:p w:rsidR="00F36050" w:rsidRPr="00F36050" w:rsidRDefault="00F36050" w:rsidP="00F36050">
      <w:pPr>
        <w:ind w:firstLine="0"/>
        <w:rPr>
          <w:snapToGrid w:val="0"/>
        </w:rPr>
      </w:pPr>
      <w:r w:rsidRPr="00F36050">
        <w:rPr>
          <w:snapToGrid w:val="0"/>
        </w:rPr>
        <w:t>CPF:</w:t>
      </w:r>
    </w:p>
    <w:p w:rsidR="008F37A7" w:rsidRPr="00CA2769" w:rsidRDefault="008F37A7" w:rsidP="006D0293">
      <w:pPr>
        <w:ind w:firstLine="0"/>
      </w:pPr>
    </w:p>
    <w:sectPr w:rsidR="008F37A7" w:rsidRPr="00CA2769" w:rsidSect="00422F7A">
      <w:headerReference w:type="default" r:id="rId9"/>
      <w:footerReference w:type="default" r:id="rId10"/>
      <w:type w:val="continuous"/>
      <w:pgSz w:w="11900" w:h="16840"/>
      <w:pgMar w:top="1985" w:right="1418" w:bottom="1418" w:left="1985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94E" w:rsidRDefault="0083794E" w:rsidP="00422F7A">
      <w:r>
        <w:separator/>
      </w:r>
    </w:p>
  </w:endnote>
  <w:endnote w:type="continuationSeparator" w:id="0">
    <w:p w:rsidR="0083794E" w:rsidRDefault="0083794E" w:rsidP="00422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elefonica Text">
    <w:altName w:val="Arial Narrow"/>
    <w:charset w:val="00"/>
    <w:family w:val="auto"/>
    <w:pitch w:val="variable"/>
    <w:sig w:usb0="00000001" w:usb1="4000204A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769" w:rsidRPr="005B76BF" w:rsidRDefault="00CA2769" w:rsidP="005B76BF">
    <w:pPr>
      <w:tabs>
        <w:tab w:val="left" w:pos="284"/>
        <w:tab w:val="left" w:pos="2268"/>
        <w:tab w:val="left" w:pos="4395"/>
        <w:tab w:val="left" w:pos="5730"/>
      </w:tabs>
      <w:ind w:left="-1134" w:firstLine="0"/>
      <w:rPr>
        <w:rFonts w:ascii="Telefonica Text" w:hAnsi="Telefonica Text"/>
        <w:color w:val="003C58"/>
        <w:sz w:val="14"/>
      </w:rPr>
    </w:pPr>
    <w:r w:rsidRPr="005B76BF">
      <w:rPr>
        <w:rFonts w:ascii="Telefonica Text" w:hAnsi="Telefonica Text"/>
        <w:color w:val="003C58"/>
        <w:sz w:val="14"/>
      </w:rPr>
      <w:t>Telefônica Brasil S.A.</w:t>
    </w:r>
    <w:r w:rsidRPr="005B76BF">
      <w:rPr>
        <w:rFonts w:ascii="Telefonica Text" w:hAnsi="Telefonica Text"/>
        <w:color w:val="003C58"/>
        <w:sz w:val="14"/>
      </w:rPr>
      <w:tab/>
      <w:t>Av. Eng. Luiz Carlos Berrini, 1.376</w:t>
    </w:r>
    <w:r w:rsidRPr="005B76BF">
      <w:rPr>
        <w:rFonts w:ascii="Telefonica Text" w:hAnsi="Telefonica Text"/>
        <w:color w:val="003C58"/>
        <w:sz w:val="14"/>
      </w:rPr>
      <w:tab/>
      <w:t>www.telefonica.com.br</w:t>
    </w:r>
  </w:p>
  <w:p w:rsidR="00CA2769" w:rsidRPr="005B76BF" w:rsidRDefault="00CA2769" w:rsidP="005B76BF">
    <w:pPr>
      <w:tabs>
        <w:tab w:val="left" w:pos="284"/>
        <w:tab w:val="left" w:pos="4253"/>
        <w:tab w:val="left" w:pos="4395"/>
        <w:tab w:val="left" w:pos="5730"/>
      </w:tabs>
      <w:ind w:firstLine="0"/>
      <w:rPr>
        <w:rFonts w:ascii="Telefonica Text" w:hAnsi="Telefonica Text"/>
        <w:color w:val="003C58"/>
        <w:sz w:val="14"/>
      </w:rPr>
    </w:pPr>
    <w:r w:rsidRPr="005B76BF">
      <w:rPr>
        <w:rFonts w:ascii="Telefonica Text" w:hAnsi="Telefonica Text"/>
        <w:color w:val="003C58"/>
        <w:sz w:val="14"/>
      </w:rPr>
      <w:tab/>
      <w:t>São Paulo - SP</w:t>
    </w:r>
    <w:r w:rsidRPr="005B76BF">
      <w:rPr>
        <w:rFonts w:ascii="Telefonica Text" w:hAnsi="Telefonica Text"/>
        <w:color w:val="003C58"/>
        <w:sz w:val="14"/>
      </w:rPr>
      <w:tab/>
    </w:r>
  </w:p>
  <w:p w:rsidR="00CA2769" w:rsidRPr="005B76BF" w:rsidRDefault="00CA2769" w:rsidP="005B76BF">
    <w:pPr>
      <w:tabs>
        <w:tab w:val="left" w:pos="284"/>
        <w:tab w:val="left" w:pos="4253"/>
        <w:tab w:val="left" w:pos="4395"/>
        <w:tab w:val="left" w:pos="5730"/>
      </w:tabs>
      <w:ind w:firstLine="0"/>
      <w:rPr>
        <w:rFonts w:ascii="Telefonica Text" w:hAnsi="Telefonica Text"/>
        <w:color w:val="003C58"/>
        <w:sz w:val="14"/>
      </w:rPr>
    </w:pPr>
    <w:r w:rsidRPr="005B76BF">
      <w:rPr>
        <w:rFonts w:ascii="Telefonica Text" w:hAnsi="Telefonica Text"/>
        <w:color w:val="003C58"/>
        <w:sz w:val="14"/>
      </w:rPr>
      <w:tab/>
      <w:t>04571-936</w:t>
    </w:r>
  </w:p>
  <w:p w:rsidR="001B6341" w:rsidRDefault="001B6341" w:rsidP="00CA2769">
    <w:pPr>
      <w:pStyle w:val="Rodap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94E" w:rsidRDefault="0083794E" w:rsidP="00422F7A">
      <w:r>
        <w:separator/>
      </w:r>
    </w:p>
  </w:footnote>
  <w:footnote w:type="continuationSeparator" w:id="0">
    <w:p w:rsidR="0083794E" w:rsidRDefault="0083794E" w:rsidP="00422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7A7" w:rsidRDefault="00114871" w:rsidP="00422F7A">
    <w:pPr>
      <w:pStyle w:val="Cabealho"/>
      <w:ind w:left="5529"/>
    </w:pPr>
    <w:r w:rsidRPr="001B6341">
      <w:rPr>
        <w:noProof/>
      </w:rPr>
      <w:drawing>
        <wp:inline distT="0" distB="0" distL="0" distR="0">
          <wp:extent cx="1252855" cy="344170"/>
          <wp:effectExtent l="0" t="0" r="4445" b="0"/>
          <wp:docPr id="1" name="Imagem 2" descr="Z:\COMUNICAÇAO INTERNA\Marca Telefonica 2010_2011\Fundos e Logotipos\Logo_Telefonica_positiv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Z:\COMUNICAÇAO INTERNA\Marca Telefonica 2010_2011\Fundos e Logotipos\Logo_Telefonica_positiv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855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0F279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C5E6D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A42F8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88AE2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1A4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915615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CC268C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5914C1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DB002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F15E56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E028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CE08DE"/>
    <w:multiLevelType w:val="hybridMultilevel"/>
    <w:tmpl w:val="AD4E0B6A"/>
    <w:lvl w:ilvl="0" w:tplc="0C0A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29E20D60"/>
    <w:multiLevelType w:val="hybridMultilevel"/>
    <w:tmpl w:val="9938A4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8AB460"/>
    <w:multiLevelType w:val="hybridMultilevel"/>
    <w:tmpl w:val="604E3F2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475E1762"/>
    <w:multiLevelType w:val="hybridMultilevel"/>
    <w:tmpl w:val="16E4A6A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1716C6"/>
    <w:multiLevelType w:val="hybridMultilevel"/>
    <w:tmpl w:val="DCB6D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11"/>
  </w:num>
  <w:num w:numId="13">
    <w:abstractNumId w:val="12"/>
  </w:num>
  <w:num w:numId="14">
    <w:abstractNumId w:val="14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3D8"/>
    <w:rsid w:val="00011367"/>
    <w:rsid w:val="00020BD5"/>
    <w:rsid w:val="00035427"/>
    <w:rsid w:val="00036FE9"/>
    <w:rsid w:val="00040E5A"/>
    <w:rsid w:val="00043A00"/>
    <w:rsid w:val="00046602"/>
    <w:rsid w:val="0005313F"/>
    <w:rsid w:val="00062066"/>
    <w:rsid w:val="00062091"/>
    <w:rsid w:val="00065A5A"/>
    <w:rsid w:val="00065B28"/>
    <w:rsid w:val="00073E05"/>
    <w:rsid w:val="00077950"/>
    <w:rsid w:val="000845AB"/>
    <w:rsid w:val="00094D5D"/>
    <w:rsid w:val="0009615D"/>
    <w:rsid w:val="000A72A4"/>
    <w:rsid w:val="000B2C50"/>
    <w:rsid w:val="000B3285"/>
    <w:rsid w:val="000B408B"/>
    <w:rsid w:val="000D253E"/>
    <w:rsid w:val="000E0CF5"/>
    <w:rsid w:val="000E7B7B"/>
    <w:rsid w:val="000F2AE6"/>
    <w:rsid w:val="000F371B"/>
    <w:rsid w:val="00103A96"/>
    <w:rsid w:val="00105635"/>
    <w:rsid w:val="001104A7"/>
    <w:rsid w:val="00110E8C"/>
    <w:rsid w:val="00114871"/>
    <w:rsid w:val="00121F05"/>
    <w:rsid w:val="00151AF9"/>
    <w:rsid w:val="00160794"/>
    <w:rsid w:val="0016285A"/>
    <w:rsid w:val="001629AC"/>
    <w:rsid w:val="00162F43"/>
    <w:rsid w:val="00174513"/>
    <w:rsid w:val="001747A5"/>
    <w:rsid w:val="0018282D"/>
    <w:rsid w:val="001850ED"/>
    <w:rsid w:val="00192068"/>
    <w:rsid w:val="00193029"/>
    <w:rsid w:val="00196AF9"/>
    <w:rsid w:val="001A5421"/>
    <w:rsid w:val="001B1657"/>
    <w:rsid w:val="001B3104"/>
    <w:rsid w:val="001B6341"/>
    <w:rsid w:val="001C0566"/>
    <w:rsid w:val="001C55F0"/>
    <w:rsid w:val="001D21FB"/>
    <w:rsid w:val="001E0968"/>
    <w:rsid w:val="00202070"/>
    <w:rsid w:val="0020572E"/>
    <w:rsid w:val="002261C3"/>
    <w:rsid w:val="00236AAE"/>
    <w:rsid w:val="00257E8C"/>
    <w:rsid w:val="002742A9"/>
    <w:rsid w:val="0028357D"/>
    <w:rsid w:val="00293A70"/>
    <w:rsid w:val="002A10C1"/>
    <w:rsid w:val="002A1BB9"/>
    <w:rsid w:val="002A7574"/>
    <w:rsid w:val="002F1690"/>
    <w:rsid w:val="002F6605"/>
    <w:rsid w:val="003035E3"/>
    <w:rsid w:val="00303CB4"/>
    <w:rsid w:val="00316005"/>
    <w:rsid w:val="00326D91"/>
    <w:rsid w:val="00332983"/>
    <w:rsid w:val="00340803"/>
    <w:rsid w:val="00351903"/>
    <w:rsid w:val="00357B5F"/>
    <w:rsid w:val="00393440"/>
    <w:rsid w:val="003949E5"/>
    <w:rsid w:val="003A0BBD"/>
    <w:rsid w:val="003A27A5"/>
    <w:rsid w:val="003B3E8F"/>
    <w:rsid w:val="003B5531"/>
    <w:rsid w:val="003B5EDB"/>
    <w:rsid w:val="003C3BF2"/>
    <w:rsid w:val="003D041D"/>
    <w:rsid w:val="003D1F7A"/>
    <w:rsid w:val="004006FC"/>
    <w:rsid w:val="00402DDA"/>
    <w:rsid w:val="0040514E"/>
    <w:rsid w:val="004101EC"/>
    <w:rsid w:val="004215D7"/>
    <w:rsid w:val="00421C56"/>
    <w:rsid w:val="00422F7A"/>
    <w:rsid w:val="00423EB5"/>
    <w:rsid w:val="00425C6F"/>
    <w:rsid w:val="00430699"/>
    <w:rsid w:val="004351D6"/>
    <w:rsid w:val="00441003"/>
    <w:rsid w:val="0044204C"/>
    <w:rsid w:val="00444949"/>
    <w:rsid w:val="00451B89"/>
    <w:rsid w:val="00453C19"/>
    <w:rsid w:val="00461A8C"/>
    <w:rsid w:val="004625CB"/>
    <w:rsid w:val="00481627"/>
    <w:rsid w:val="00493B66"/>
    <w:rsid w:val="00496B6D"/>
    <w:rsid w:val="004A15B7"/>
    <w:rsid w:val="004A5C58"/>
    <w:rsid w:val="004C278D"/>
    <w:rsid w:val="004F4EED"/>
    <w:rsid w:val="00510EF5"/>
    <w:rsid w:val="00517A82"/>
    <w:rsid w:val="00523205"/>
    <w:rsid w:val="00544662"/>
    <w:rsid w:val="00544747"/>
    <w:rsid w:val="005458EF"/>
    <w:rsid w:val="00545F82"/>
    <w:rsid w:val="0054605D"/>
    <w:rsid w:val="00555EAC"/>
    <w:rsid w:val="00571E93"/>
    <w:rsid w:val="005843D8"/>
    <w:rsid w:val="005855D9"/>
    <w:rsid w:val="005A0794"/>
    <w:rsid w:val="005B76BF"/>
    <w:rsid w:val="005C34A6"/>
    <w:rsid w:val="005E1B8E"/>
    <w:rsid w:val="005F4A32"/>
    <w:rsid w:val="006052B4"/>
    <w:rsid w:val="006108D9"/>
    <w:rsid w:val="00645FB6"/>
    <w:rsid w:val="00647593"/>
    <w:rsid w:val="006528E8"/>
    <w:rsid w:val="00670539"/>
    <w:rsid w:val="006747BD"/>
    <w:rsid w:val="0068497F"/>
    <w:rsid w:val="00686D55"/>
    <w:rsid w:val="0069307D"/>
    <w:rsid w:val="006A0827"/>
    <w:rsid w:val="006B4FDD"/>
    <w:rsid w:val="006C048B"/>
    <w:rsid w:val="006D0293"/>
    <w:rsid w:val="006D21F1"/>
    <w:rsid w:val="006D2988"/>
    <w:rsid w:val="006D2D3A"/>
    <w:rsid w:val="006D5F50"/>
    <w:rsid w:val="006F6EA8"/>
    <w:rsid w:val="007050DF"/>
    <w:rsid w:val="00720708"/>
    <w:rsid w:val="00720D25"/>
    <w:rsid w:val="00722D06"/>
    <w:rsid w:val="00726645"/>
    <w:rsid w:val="00726EC9"/>
    <w:rsid w:val="00740C34"/>
    <w:rsid w:val="007454E2"/>
    <w:rsid w:val="007559D4"/>
    <w:rsid w:val="007747A7"/>
    <w:rsid w:val="0078058A"/>
    <w:rsid w:val="0078265A"/>
    <w:rsid w:val="00792F03"/>
    <w:rsid w:val="007B0B96"/>
    <w:rsid w:val="007B7FC1"/>
    <w:rsid w:val="008006DA"/>
    <w:rsid w:val="008056E2"/>
    <w:rsid w:val="00805B51"/>
    <w:rsid w:val="0081203D"/>
    <w:rsid w:val="008133C6"/>
    <w:rsid w:val="0081604C"/>
    <w:rsid w:val="0083794E"/>
    <w:rsid w:val="008450E1"/>
    <w:rsid w:val="008477E6"/>
    <w:rsid w:val="00871CB7"/>
    <w:rsid w:val="00880461"/>
    <w:rsid w:val="008836E2"/>
    <w:rsid w:val="00893E66"/>
    <w:rsid w:val="00894580"/>
    <w:rsid w:val="00894625"/>
    <w:rsid w:val="008A2883"/>
    <w:rsid w:val="008A328A"/>
    <w:rsid w:val="008B011B"/>
    <w:rsid w:val="008C3D35"/>
    <w:rsid w:val="008C73EC"/>
    <w:rsid w:val="008D3BC6"/>
    <w:rsid w:val="008E12AD"/>
    <w:rsid w:val="008F0A9C"/>
    <w:rsid w:val="008F1571"/>
    <w:rsid w:val="008F37A7"/>
    <w:rsid w:val="008F7C50"/>
    <w:rsid w:val="00905955"/>
    <w:rsid w:val="00921220"/>
    <w:rsid w:val="00922C29"/>
    <w:rsid w:val="00932FE4"/>
    <w:rsid w:val="00933ECA"/>
    <w:rsid w:val="00943B00"/>
    <w:rsid w:val="00944BED"/>
    <w:rsid w:val="00953B24"/>
    <w:rsid w:val="00957674"/>
    <w:rsid w:val="00973F13"/>
    <w:rsid w:val="009743B0"/>
    <w:rsid w:val="00981BA9"/>
    <w:rsid w:val="00981DD5"/>
    <w:rsid w:val="009876B1"/>
    <w:rsid w:val="0099340A"/>
    <w:rsid w:val="009952BA"/>
    <w:rsid w:val="009A3F6D"/>
    <w:rsid w:val="009A7DAF"/>
    <w:rsid w:val="009B7C7E"/>
    <w:rsid w:val="009C3D96"/>
    <w:rsid w:val="009C66DA"/>
    <w:rsid w:val="009D7225"/>
    <w:rsid w:val="00A25A5F"/>
    <w:rsid w:val="00A37310"/>
    <w:rsid w:val="00A45DA8"/>
    <w:rsid w:val="00A47D81"/>
    <w:rsid w:val="00A5000C"/>
    <w:rsid w:val="00A57295"/>
    <w:rsid w:val="00A821D5"/>
    <w:rsid w:val="00AA1262"/>
    <w:rsid w:val="00AC0B9B"/>
    <w:rsid w:val="00AC772B"/>
    <w:rsid w:val="00AF6DD6"/>
    <w:rsid w:val="00B20DA7"/>
    <w:rsid w:val="00B220F0"/>
    <w:rsid w:val="00B26D0D"/>
    <w:rsid w:val="00B2738D"/>
    <w:rsid w:val="00B31746"/>
    <w:rsid w:val="00B34B63"/>
    <w:rsid w:val="00B37C10"/>
    <w:rsid w:val="00B40F3F"/>
    <w:rsid w:val="00B470F9"/>
    <w:rsid w:val="00B64D60"/>
    <w:rsid w:val="00B74C80"/>
    <w:rsid w:val="00B81670"/>
    <w:rsid w:val="00B9592A"/>
    <w:rsid w:val="00B96F20"/>
    <w:rsid w:val="00BB66DA"/>
    <w:rsid w:val="00BC0246"/>
    <w:rsid w:val="00BC763C"/>
    <w:rsid w:val="00BC77FB"/>
    <w:rsid w:val="00BE6149"/>
    <w:rsid w:val="00C013C2"/>
    <w:rsid w:val="00C04A40"/>
    <w:rsid w:val="00C1719E"/>
    <w:rsid w:val="00C24271"/>
    <w:rsid w:val="00C323C4"/>
    <w:rsid w:val="00C50E64"/>
    <w:rsid w:val="00C745FB"/>
    <w:rsid w:val="00C748C5"/>
    <w:rsid w:val="00C76F1C"/>
    <w:rsid w:val="00C77630"/>
    <w:rsid w:val="00C80A07"/>
    <w:rsid w:val="00C911D6"/>
    <w:rsid w:val="00C92A54"/>
    <w:rsid w:val="00C93DD7"/>
    <w:rsid w:val="00C94E6F"/>
    <w:rsid w:val="00C95E36"/>
    <w:rsid w:val="00CA2769"/>
    <w:rsid w:val="00CD5251"/>
    <w:rsid w:val="00CD74E4"/>
    <w:rsid w:val="00CD74E6"/>
    <w:rsid w:val="00CE600B"/>
    <w:rsid w:val="00CE6D12"/>
    <w:rsid w:val="00CF16B2"/>
    <w:rsid w:val="00D049E1"/>
    <w:rsid w:val="00D05CAC"/>
    <w:rsid w:val="00D112DE"/>
    <w:rsid w:val="00D2330C"/>
    <w:rsid w:val="00D37F89"/>
    <w:rsid w:val="00D47F72"/>
    <w:rsid w:val="00D6520A"/>
    <w:rsid w:val="00D661CE"/>
    <w:rsid w:val="00D71EE9"/>
    <w:rsid w:val="00D72EDD"/>
    <w:rsid w:val="00D74D3A"/>
    <w:rsid w:val="00D8706B"/>
    <w:rsid w:val="00D93A20"/>
    <w:rsid w:val="00D97A52"/>
    <w:rsid w:val="00DA065C"/>
    <w:rsid w:val="00DB1218"/>
    <w:rsid w:val="00DB4F1E"/>
    <w:rsid w:val="00DB63A0"/>
    <w:rsid w:val="00DD46AE"/>
    <w:rsid w:val="00DE3B50"/>
    <w:rsid w:val="00DF3DC8"/>
    <w:rsid w:val="00DF7A28"/>
    <w:rsid w:val="00E06020"/>
    <w:rsid w:val="00E17786"/>
    <w:rsid w:val="00E266B8"/>
    <w:rsid w:val="00E325F5"/>
    <w:rsid w:val="00E74ABD"/>
    <w:rsid w:val="00E85EB4"/>
    <w:rsid w:val="00EB390F"/>
    <w:rsid w:val="00EC21A4"/>
    <w:rsid w:val="00ED054F"/>
    <w:rsid w:val="00ED1530"/>
    <w:rsid w:val="00EE126D"/>
    <w:rsid w:val="00EF2806"/>
    <w:rsid w:val="00EF7ABA"/>
    <w:rsid w:val="00F02C0F"/>
    <w:rsid w:val="00F219E1"/>
    <w:rsid w:val="00F236A4"/>
    <w:rsid w:val="00F32BB8"/>
    <w:rsid w:val="00F36050"/>
    <w:rsid w:val="00F37365"/>
    <w:rsid w:val="00F45570"/>
    <w:rsid w:val="00F45631"/>
    <w:rsid w:val="00F523EC"/>
    <w:rsid w:val="00F616DA"/>
    <w:rsid w:val="00F74719"/>
    <w:rsid w:val="00F76A44"/>
    <w:rsid w:val="00F824E4"/>
    <w:rsid w:val="00F82AA6"/>
    <w:rsid w:val="00F831A2"/>
    <w:rsid w:val="00F944C3"/>
    <w:rsid w:val="00FA034C"/>
    <w:rsid w:val="00FA6D7C"/>
    <w:rsid w:val="00FD1B5B"/>
    <w:rsid w:val="00FD384B"/>
    <w:rsid w:val="00FD4928"/>
    <w:rsid w:val="00FE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trong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3B50"/>
    <w:pPr>
      <w:snapToGrid w:val="0"/>
      <w:spacing w:line="288" w:lineRule="auto"/>
      <w:ind w:firstLine="1418"/>
      <w:jc w:val="both"/>
    </w:pPr>
    <w:rPr>
      <w:rFonts w:ascii="Arial" w:eastAsia="Calibri" w:hAnsi="Arial" w:cs="Arial"/>
      <w:color w:val="000000"/>
      <w:sz w:val="24"/>
    </w:rPr>
  </w:style>
  <w:style w:type="paragraph" w:styleId="Ttulo1">
    <w:name w:val="heading 1"/>
    <w:basedOn w:val="Normal"/>
    <w:next w:val="Normal"/>
    <w:link w:val="Ttulo1Char"/>
    <w:rsid w:val="00CA2769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580EA4"/>
    <w:rPr>
      <w:rFonts w:ascii="Lucida Grande" w:hAnsi="Lucida Grande"/>
      <w:sz w:val="18"/>
      <w:szCs w:val="18"/>
    </w:rPr>
  </w:style>
  <w:style w:type="paragraph" w:styleId="Cabealho">
    <w:name w:val="header"/>
    <w:basedOn w:val="Normal"/>
    <w:rsid w:val="00AE697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AE697D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rsid w:val="00CC10BE"/>
    <w:pPr>
      <w:spacing w:before="100" w:beforeAutospacing="1" w:after="100" w:afterAutospacing="1"/>
    </w:pPr>
    <w:rPr>
      <w:rFonts w:ascii="Times" w:hAnsi="Times"/>
      <w:sz w:val="20"/>
    </w:rPr>
  </w:style>
  <w:style w:type="paragraph" w:styleId="Textodenotaderodap">
    <w:name w:val="footnote text"/>
    <w:basedOn w:val="Normal"/>
    <w:link w:val="TextodenotaderodapChar"/>
    <w:rsid w:val="00422F7A"/>
    <w:rPr>
      <w:sz w:val="20"/>
    </w:rPr>
  </w:style>
  <w:style w:type="character" w:customStyle="1" w:styleId="TextodenotaderodapChar">
    <w:name w:val="Texto de nota de rodapé Char"/>
    <w:link w:val="Textodenotaderodap"/>
    <w:rsid w:val="00422F7A"/>
    <w:rPr>
      <w:lang w:val="es-ES_tradnl" w:eastAsia="es-ES_tradnl"/>
    </w:rPr>
  </w:style>
  <w:style w:type="character" w:styleId="Refdenotaderodap">
    <w:name w:val="footnote reference"/>
    <w:rsid w:val="00422F7A"/>
    <w:rPr>
      <w:vertAlign w:val="superscript"/>
    </w:rPr>
  </w:style>
  <w:style w:type="character" w:styleId="Forte">
    <w:name w:val="Strong"/>
    <w:qFormat/>
    <w:rsid w:val="00422F7A"/>
    <w:rPr>
      <w:b/>
    </w:rPr>
  </w:style>
  <w:style w:type="paragraph" w:styleId="Citao">
    <w:name w:val="Quote"/>
    <w:basedOn w:val="Normal"/>
    <w:next w:val="Normal"/>
    <w:link w:val="CitaoChar"/>
    <w:uiPriority w:val="29"/>
    <w:qFormat/>
    <w:rsid w:val="00CA2769"/>
    <w:pPr>
      <w:spacing w:line="240" w:lineRule="auto"/>
      <w:ind w:left="2268" w:firstLine="0"/>
    </w:pPr>
    <w:rPr>
      <w:sz w:val="20"/>
    </w:rPr>
  </w:style>
  <w:style w:type="character" w:customStyle="1" w:styleId="CitaoChar">
    <w:name w:val="Citação Char"/>
    <w:link w:val="Citao"/>
    <w:uiPriority w:val="29"/>
    <w:rsid w:val="00CA2769"/>
    <w:rPr>
      <w:rFonts w:ascii="Arial" w:eastAsia="Calibri" w:hAnsi="Arial" w:cs="Arial"/>
      <w:color w:val="000000"/>
    </w:rPr>
  </w:style>
  <w:style w:type="character" w:styleId="RefernciaIntensa">
    <w:name w:val="Intense Reference"/>
    <w:uiPriority w:val="32"/>
    <w:rsid w:val="00CA2769"/>
    <w:rPr>
      <w:b/>
      <w:bCs/>
      <w:smallCaps/>
      <w:color w:val="5B9BD5"/>
      <w:spacing w:val="5"/>
    </w:rPr>
  </w:style>
  <w:style w:type="character" w:styleId="TtulodoLivro">
    <w:name w:val="Book Title"/>
    <w:uiPriority w:val="33"/>
    <w:rsid w:val="00CA2769"/>
    <w:rPr>
      <w:b/>
      <w:bCs/>
      <w:i/>
      <w:iCs/>
      <w:spacing w:val="5"/>
    </w:rPr>
  </w:style>
  <w:style w:type="paragraph" w:styleId="Ttulo">
    <w:name w:val="Title"/>
    <w:basedOn w:val="Normal"/>
    <w:next w:val="Normal"/>
    <w:link w:val="TtuloChar"/>
    <w:qFormat/>
    <w:rsid w:val="00CA2769"/>
    <w:pPr>
      <w:ind w:firstLine="0"/>
    </w:pPr>
    <w:rPr>
      <w:b/>
      <w:u w:val="single"/>
      <w:lang w:eastAsia="ar-SA"/>
    </w:rPr>
  </w:style>
  <w:style w:type="character" w:customStyle="1" w:styleId="TtuloChar">
    <w:name w:val="Título Char"/>
    <w:link w:val="Ttulo"/>
    <w:rsid w:val="00CA2769"/>
    <w:rPr>
      <w:rFonts w:ascii="Arial" w:eastAsia="Calibri" w:hAnsi="Arial" w:cs="Arial"/>
      <w:b/>
      <w:color w:val="000000"/>
      <w:sz w:val="24"/>
      <w:u w:val="single"/>
      <w:lang w:eastAsia="ar-SA"/>
    </w:rPr>
  </w:style>
  <w:style w:type="character" w:customStyle="1" w:styleId="Ttulo1Char">
    <w:name w:val="Título 1 Char"/>
    <w:link w:val="Ttulo1"/>
    <w:rsid w:val="00CA2769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paragraph" w:customStyle="1" w:styleId="Notaderodap">
    <w:name w:val="Nota de rodapé"/>
    <w:basedOn w:val="Textodenotaderodap"/>
    <w:link w:val="NotaderodapChar"/>
    <w:qFormat/>
    <w:rsid w:val="009952BA"/>
    <w:pPr>
      <w:spacing w:line="240" w:lineRule="auto"/>
      <w:ind w:firstLine="0"/>
    </w:pPr>
    <w:rPr>
      <w:sz w:val="18"/>
      <w:szCs w:val="18"/>
    </w:rPr>
  </w:style>
  <w:style w:type="character" w:customStyle="1" w:styleId="NotaderodapChar">
    <w:name w:val="Nota de rodapé Char"/>
    <w:basedOn w:val="TextodenotaderodapChar"/>
    <w:link w:val="Notaderodap"/>
    <w:rsid w:val="009952BA"/>
    <w:rPr>
      <w:rFonts w:ascii="Arial" w:eastAsia="Calibri" w:hAnsi="Arial" w:cs="Arial"/>
      <w:color w:val="000000"/>
      <w:sz w:val="18"/>
      <w:szCs w:val="18"/>
      <w:lang w:val="es-ES_tradnl" w:eastAsia="es-ES_tradnl"/>
    </w:rPr>
  </w:style>
  <w:style w:type="character" w:customStyle="1" w:styleId="Caracteresdenotaderodap">
    <w:name w:val="Caracteres de nota de rodapé"/>
    <w:basedOn w:val="Fontepargpadro"/>
    <w:rsid w:val="00F36050"/>
  </w:style>
  <w:style w:type="character" w:customStyle="1" w:styleId="PPCChar">
    <w:name w:val="PPC Char"/>
    <w:link w:val="PPC"/>
    <w:locked/>
    <w:rsid w:val="00BB66DA"/>
    <w:rPr>
      <w:rFonts w:ascii="Arial" w:hAnsi="Arial" w:cs="Arial"/>
      <w:snapToGrid w:val="0"/>
      <w:sz w:val="24"/>
    </w:rPr>
  </w:style>
  <w:style w:type="paragraph" w:customStyle="1" w:styleId="PPC">
    <w:name w:val="PPC"/>
    <w:basedOn w:val="Normal"/>
    <w:link w:val="PPCChar"/>
    <w:rsid w:val="00BB66DA"/>
    <w:rPr>
      <w:rFonts w:eastAsia="Times New Roman"/>
      <w:snapToGrid w:val="0"/>
      <w:color w:val="auto"/>
    </w:rPr>
  </w:style>
  <w:style w:type="paragraph" w:customStyle="1" w:styleId="TableParagraph">
    <w:name w:val="Table Paragraph"/>
    <w:basedOn w:val="Normal"/>
    <w:uiPriority w:val="1"/>
    <w:rsid w:val="00DB63A0"/>
    <w:pPr>
      <w:snapToGrid/>
      <w:spacing w:line="240" w:lineRule="auto"/>
      <w:ind w:left="62" w:firstLine="0"/>
      <w:jc w:val="left"/>
    </w:pPr>
    <w:rPr>
      <w:rFonts w:eastAsiaTheme="minorHAnsi"/>
      <w:color w:val="auto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0F371B"/>
    <w:pPr>
      <w:ind w:left="720"/>
      <w:contextualSpacing/>
    </w:pPr>
  </w:style>
  <w:style w:type="paragraph" w:customStyle="1" w:styleId="Default">
    <w:name w:val="Default"/>
    <w:rsid w:val="00453C1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pc0">
    <w:name w:val="ppc"/>
    <w:basedOn w:val="Normal"/>
    <w:rsid w:val="00110E8C"/>
    <w:rPr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trong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3B50"/>
    <w:pPr>
      <w:snapToGrid w:val="0"/>
      <w:spacing w:line="288" w:lineRule="auto"/>
      <w:ind w:firstLine="1418"/>
      <w:jc w:val="both"/>
    </w:pPr>
    <w:rPr>
      <w:rFonts w:ascii="Arial" w:eastAsia="Calibri" w:hAnsi="Arial" w:cs="Arial"/>
      <w:color w:val="000000"/>
      <w:sz w:val="24"/>
    </w:rPr>
  </w:style>
  <w:style w:type="paragraph" w:styleId="Ttulo1">
    <w:name w:val="heading 1"/>
    <w:basedOn w:val="Normal"/>
    <w:next w:val="Normal"/>
    <w:link w:val="Ttulo1Char"/>
    <w:rsid w:val="00CA2769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580EA4"/>
    <w:rPr>
      <w:rFonts w:ascii="Lucida Grande" w:hAnsi="Lucida Grande"/>
      <w:sz w:val="18"/>
      <w:szCs w:val="18"/>
    </w:rPr>
  </w:style>
  <w:style w:type="paragraph" w:styleId="Cabealho">
    <w:name w:val="header"/>
    <w:basedOn w:val="Normal"/>
    <w:rsid w:val="00AE697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AE697D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uiPriority w:val="99"/>
    <w:rsid w:val="00CC10BE"/>
    <w:pPr>
      <w:spacing w:before="100" w:beforeAutospacing="1" w:after="100" w:afterAutospacing="1"/>
    </w:pPr>
    <w:rPr>
      <w:rFonts w:ascii="Times" w:hAnsi="Times"/>
      <w:sz w:val="20"/>
    </w:rPr>
  </w:style>
  <w:style w:type="paragraph" w:styleId="Textodenotaderodap">
    <w:name w:val="footnote text"/>
    <w:basedOn w:val="Normal"/>
    <w:link w:val="TextodenotaderodapChar"/>
    <w:rsid w:val="00422F7A"/>
    <w:rPr>
      <w:sz w:val="20"/>
    </w:rPr>
  </w:style>
  <w:style w:type="character" w:customStyle="1" w:styleId="TextodenotaderodapChar">
    <w:name w:val="Texto de nota de rodapé Char"/>
    <w:link w:val="Textodenotaderodap"/>
    <w:rsid w:val="00422F7A"/>
    <w:rPr>
      <w:lang w:val="es-ES_tradnl" w:eastAsia="es-ES_tradnl"/>
    </w:rPr>
  </w:style>
  <w:style w:type="character" w:styleId="Refdenotaderodap">
    <w:name w:val="footnote reference"/>
    <w:rsid w:val="00422F7A"/>
    <w:rPr>
      <w:vertAlign w:val="superscript"/>
    </w:rPr>
  </w:style>
  <w:style w:type="character" w:styleId="Forte">
    <w:name w:val="Strong"/>
    <w:qFormat/>
    <w:rsid w:val="00422F7A"/>
    <w:rPr>
      <w:b/>
    </w:rPr>
  </w:style>
  <w:style w:type="paragraph" w:styleId="Citao">
    <w:name w:val="Quote"/>
    <w:basedOn w:val="Normal"/>
    <w:next w:val="Normal"/>
    <w:link w:val="CitaoChar"/>
    <w:uiPriority w:val="29"/>
    <w:qFormat/>
    <w:rsid w:val="00CA2769"/>
    <w:pPr>
      <w:spacing w:line="240" w:lineRule="auto"/>
      <w:ind w:left="2268" w:firstLine="0"/>
    </w:pPr>
    <w:rPr>
      <w:sz w:val="20"/>
    </w:rPr>
  </w:style>
  <w:style w:type="character" w:customStyle="1" w:styleId="CitaoChar">
    <w:name w:val="Citação Char"/>
    <w:link w:val="Citao"/>
    <w:uiPriority w:val="29"/>
    <w:rsid w:val="00CA2769"/>
    <w:rPr>
      <w:rFonts w:ascii="Arial" w:eastAsia="Calibri" w:hAnsi="Arial" w:cs="Arial"/>
      <w:color w:val="000000"/>
    </w:rPr>
  </w:style>
  <w:style w:type="character" w:styleId="RefernciaIntensa">
    <w:name w:val="Intense Reference"/>
    <w:uiPriority w:val="32"/>
    <w:rsid w:val="00CA2769"/>
    <w:rPr>
      <w:b/>
      <w:bCs/>
      <w:smallCaps/>
      <w:color w:val="5B9BD5"/>
      <w:spacing w:val="5"/>
    </w:rPr>
  </w:style>
  <w:style w:type="character" w:styleId="TtulodoLivro">
    <w:name w:val="Book Title"/>
    <w:uiPriority w:val="33"/>
    <w:rsid w:val="00CA2769"/>
    <w:rPr>
      <w:b/>
      <w:bCs/>
      <w:i/>
      <w:iCs/>
      <w:spacing w:val="5"/>
    </w:rPr>
  </w:style>
  <w:style w:type="paragraph" w:styleId="Ttulo">
    <w:name w:val="Title"/>
    <w:basedOn w:val="Normal"/>
    <w:next w:val="Normal"/>
    <w:link w:val="TtuloChar"/>
    <w:qFormat/>
    <w:rsid w:val="00CA2769"/>
    <w:pPr>
      <w:ind w:firstLine="0"/>
    </w:pPr>
    <w:rPr>
      <w:b/>
      <w:u w:val="single"/>
      <w:lang w:eastAsia="ar-SA"/>
    </w:rPr>
  </w:style>
  <w:style w:type="character" w:customStyle="1" w:styleId="TtuloChar">
    <w:name w:val="Título Char"/>
    <w:link w:val="Ttulo"/>
    <w:rsid w:val="00CA2769"/>
    <w:rPr>
      <w:rFonts w:ascii="Arial" w:eastAsia="Calibri" w:hAnsi="Arial" w:cs="Arial"/>
      <w:b/>
      <w:color w:val="000000"/>
      <w:sz w:val="24"/>
      <w:u w:val="single"/>
      <w:lang w:eastAsia="ar-SA"/>
    </w:rPr>
  </w:style>
  <w:style w:type="character" w:customStyle="1" w:styleId="Ttulo1Char">
    <w:name w:val="Título 1 Char"/>
    <w:link w:val="Ttulo1"/>
    <w:rsid w:val="00CA2769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paragraph" w:customStyle="1" w:styleId="Notaderodap">
    <w:name w:val="Nota de rodapé"/>
    <w:basedOn w:val="Textodenotaderodap"/>
    <w:link w:val="NotaderodapChar"/>
    <w:qFormat/>
    <w:rsid w:val="009952BA"/>
    <w:pPr>
      <w:spacing w:line="240" w:lineRule="auto"/>
      <w:ind w:firstLine="0"/>
    </w:pPr>
    <w:rPr>
      <w:sz w:val="18"/>
      <w:szCs w:val="18"/>
    </w:rPr>
  </w:style>
  <w:style w:type="character" w:customStyle="1" w:styleId="NotaderodapChar">
    <w:name w:val="Nota de rodapé Char"/>
    <w:basedOn w:val="TextodenotaderodapChar"/>
    <w:link w:val="Notaderodap"/>
    <w:rsid w:val="009952BA"/>
    <w:rPr>
      <w:rFonts w:ascii="Arial" w:eastAsia="Calibri" w:hAnsi="Arial" w:cs="Arial"/>
      <w:color w:val="000000"/>
      <w:sz w:val="18"/>
      <w:szCs w:val="18"/>
      <w:lang w:val="es-ES_tradnl" w:eastAsia="es-ES_tradnl"/>
    </w:rPr>
  </w:style>
  <w:style w:type="character" w:customStyle="1" w:styleId="Caracteresdenotaderodap">
    <w:name w:val="Caracteres de nota de rodapé"/>
    <w:basedOn w:val="Fontepargpadro"/>
    <w:rsid w:val="00F36050"/>
  </w:style>
  <w:style w:type="character" w:customStyle="1" w:styleId="PPCChar">
    <w:name w:val="PPC Char"/>
    <w:link w:val="PPC"/>
    <w:locked/>
    <w:rsid w:val="00BB66DA"/>
    <w:rPr>
      <w:rFonts w:ascii="Arial" w:hAnsi="Arial" w:cs="Arial"/>
      <w:snapToGrid w:val="0"/>
      <w:sz w:val="24"/>
    </w:rPr>
  </w:style>
  <w:style w:type="paragraph" w:customStyle="1" w:styleId="PPC">
    <w:name w:val="PPC"/>
    <w:basedOn w:val="Normal"/>
    <w:link w:val="PPCChar"/>
    <w:rsid w:val="00BB66DA"/>
    <w:rPr>
      <w:rFonts w:eastAsia="Times New Roman"/>
      <w:snapToGrid w:val="0"/>
      <w:color w:val="auto"/>
    </w:rPr>
  </w:style>
  <w:style w:type="paragraph" w:customStyle="1" w:styleId="TableParagraph">
    <w:name w:val="Table Paragraph"/>
    <w:basedOn w:val="Normal"/>
    <w:uiPriority w:val="1"/>
    <w:rsid w:val="00DB63A0"/>
    <w:pPr>
      <w:snapToGrid/>
      <w:spacing w:line="240" w:lineRule="auto"/>
      <w:ind w:left="62" w:firstLine="0"/>
      <w:jc w:val="left"/>
    </w:pPr>
    <w:rPr>
      <w:rFonts w:eastAsiaTheme="minorHAnsi"/>
      <w:color w:val="auto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0F371B"/>
    <w:pPr>
      <w:ind w:left="720"/>
      <w:contextualSpacing/>
    </w:pPr>
  </w:style>
  <w:style w:type="paragraph" w:customStyle="1" w:styleId="Default">
    <w:name w:val="Default"/>
    <w:rsid w:val="00453C1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pc0">
    <w:name w:val="ppc"/>
    <w:basedOn w:val="Normal"/>
    <w:rsid w:val="00110E8C"/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lientes%20de%20Partido\Telef&#244;nica\Logo%20e%20rodap&#233;%20Telef&#244;nica-19.08.2016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FA547-B34C-49F2-95AD-03145F9FA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e rodapé Telefônica-19.08.2016.dotx</Template>
  <TotalTime>0</TotalTime>
  <Pages>9</Pages>
  <Words>2200</Words>
  <Characters>12314</Characters>
  <Application>Microsoft Office Word</Application>
  <DocSecurity>4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Telefónica</Company>
  <LinksUpToDate>false</LinksUpToDate>
  <CharactersWithSpaces>14486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creator>Maria Isabella de Lima Vilas Boas Ribeiro</dc:creator>
  <cp:lastModifiedBy>Coordadm</cp:lastModifiedBy>
  <cp:revision>2</cp:revision>
  <cp:lastPrinted>2010-05-07T13:03:00Z</cp:lastPrinted>
  <dcterms:created xsi:type="dcterms:W3CDTF">2017-09-21T13:04:00Z</dcterms:created>
  <dcterms:modified xsi:type="dcterms:W3CDTF">2017-09-21T13:04:00Z</dcterms:modified>
</cp:coreProperties>
</file>