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050" w:rsidRPr="00F36050" w:rsidRDefault="00F36050" w:rsidP="00F36050">
      <w:pPr>
        <w:ind w:firstLine="0"/>
        <w:jc w:val="center"/>
        <w:rPr>
          <w:b/>
          <w:snapToGrid w:val="0"/>
          <w:sz w:val="26"/>
          <w:szCs w:val="26"/>
          <w:u w:val="single"/>
        </w:rPr>
      </w:pPr>
      <w:bookmarkStart w:id="0" w:name="_GoBack"/>
      <w:bookmarkEnd w:id="0"/>
      <w:r w:rsidRPr="00F36050">
        <w:rPr>
          <w:b/>
          <w:snapToGrid w:val="0"/>
          <w:sz w:val="26"/>
          <w:szCs w:val="26"/>
          <w:u w:val="single"/>
        </w:rPr>
        <w:t>IMPUGNAÇÃO AO EDITAL</w:t>
      </w:r>
    </w:p>
    <w:p w:rsidR="00F36050" w:rsidRPr="00F36050" w:rsidRDefault="00F36050" w:rsidP="00F36050">
      <w:pPr>
        <w:ind w:firstLine="0"/>
        <w:rPr>
          <w:b/>
          <w:snapToGrid w:val="0"/>
          <w:u w:val="single"/>
        </w:rPr>
      </w:pPr>
    </w:p>
    <w:p w:rsidR="00F36050" w:rsidRPr="00F36050" w:rsidRDefault="00F36050" w:rsidP="00F36050">
      <w:pPr>
        <w:ind w:firstLine="0"/>
        <w:rPr>
          <w:b/>
          <w:snapToGrid w:val="0"/>
        </w:rPr>
      </w:pPr>
    </w:p>
    <w:p w:rsidR="0044204C" w:rsidRPr="005C34A6" w:rsidRDefault="008C3D35" w:rsidP="0044204C">
      <w:pPr>
        <w:snapToGrid/>
        <w:ind w:firstLine="0"/>
        <w:rPr>
          <w:rFonts w:eastAsia="Times New Roman"/>
          <w:b/>
          <w:color w:val="auto"/>
          <w:szCs w:val="24"/>
          <w:lang w:eastAsia="es-ES_tradnl"/>
        </w:rPr>
      </w:pPr>
      <w:r>
        <w:rPr>
          <w:rFonts w:eastAsia="Times New Roman"/>
          <w:b/>
          <w:color w:val="auto"/>
          <w:szCs w:val="24"/>
          <w:lang w:eastAsia="es-ES_tradnl"/>
        </w:rPr>
        <w:t>Pregão Presencial Nº 02/2017 do Conselho Regional de Nutricionistas da 2ª Região</w:t>
      </w:r>
      <w:r>
        <w:rPr>
          <w:b/>
          <w:bCs/>
        </w:rPr>
        <w:t>/RS.</w:t>
      </w:r>
    </w:p>
    <w:p w:rsidR="00F36050" w:rsidRDefault="00F36050" w:rsidP="00F36050">
      <w:pPr>
        <w:ind w:firstLine="0"/>
        <w:rPr>
          <w:b/>
          <w:snapToGrid w:val="0"/>
          <w:u w:val="single"/>
        </w:rPr>
      </w:pPr>
    </w:p>
    <w:p w:rsidR="005C34A6" w:rsidRPr="00F36050" w:rsidRDefault="005C34A6" w:rsidP="00F36050">
      <w:pPr>
        <w:ind w:firstLine="0"/>
        <w:rPr>
          <w:b/>
          <w:snapToGrid w:val="0"/>
          <w:u w:val="single"/>
        </w:rPr>
      </w:pPr>
    </w:p>
    <w:p w:rsidR="00F36050" w:rsidRPr="00F36050" w:rsidRDefault="00F36050" w:rsidP="00F36050">
      <w:pPr>
        <w:ind w:firstLine="0"/>
        <w:rPr>
          <w:b/>
          <w:snapToGrid w:val="0"/>
          <w:u w:val="single"/>
        </w:rPr>
      </w:pPr>
      <w:r w:rsidRPr="00F36050">
        <w:rPr>
          <w:b/>
          <w:snapToGrid w:val="0"/>
          <w:u w:val="single"/>
        </w:rPr>
        <w:t>Impugnante</w:t>
      </w:r>
      <w:r w:rsidRPr="00F36050">
        <w:rPr>
          <w:snapToGrid w:val="0"/>
          <w:u w:val="single"/>
        </w:rPr>
        <w:t xml:space="preserve">: </w:t>
      </w:r>
      <w:r w:rsidRPr="00F36050">
        <w:rPr>
          <w:b/>
          <w:snapToGrid w:val="0"/>
          <w:u w:val="single"/>
        </w:rPr>
        <w:t>Telefônica Brasil S/A.</w:t>
      </w:r>
    </w:p>
    <w:p w:rsidR="00F36050" w:rsidRPr="00F36050" w:rsidRDefault="00F36050" w:rsidP="00F36050">
      <w:pPr>
        <w:ind w:firstLine="0"/>
        <w:rPr>
          <w:b/>
          <w:snapToGrid w:val="0"/>
          <w:u w:val="single"/>
        </w:rPr>
      </w:pPr>
    </w:p>
    <w:p w:rsidR="00F36050" w:rsidRPr="00F36050" w:rsidRDefault="00F36050" w:rsidP="00F36050">
      <w:pPr>
        <w:ind w:firstLine="0"/>
        <w:rPr>
          <w:b/>
          <w:snapToGrid w:val="0"/>
        </w:rPr>
      </w:pPr>
    </w:p>
    <w:p w:rsidR="008C3D35" w:rsidRPr="005C34A6" w:rsidRDefault="00F36050" w:rsidP="008C3D35">
      <w:pPr>
        <w:snapToGrid/>
        <w:ind w:firstLine="0"/>
        <w:rPr>
          <w:rFonts w:eastAsia="Times New Roman"/>
          <w:b/>
          <w:color w:val="auto"/>
          <w:szCs w:val="24"/>
          <w:lang w:eastAsia="es-ES_tradnl"/>
        </w:rPr>
      </w:pPr>
      <w:r w:rsidRPr="00F36050">
        <w:rPr>
          <w:b/>
          <w:snapToGrid w:val="0"/>
        </w:rPr>
        <w:t xml:space="preserve">Ao (À) </w:t>
      </w:r>
      <w:proofErr w:type="gramStart"/>
      <w:r w:rsidRPr="00F36050">
        <w:rPr>
          <w:b/>
          <w:snapToGrid w:val="0"/>
        </w:rPr>
        <w:t>Sr.</w:t>
      </w:r>
      <w:proofErr w:type="gramEnd"/>
      <w:r w:rsidRPr="00F36050">
        <w:rPr>
          <w:b/>
          <w:snapToGrid w:val="0"/>
        </w:rPr>
        <w:t>(a) Pregoeiro (a)</w:t>
      </w:r>
      <w:r w:rsidRPr="00F36050">
        <w:rPr>
          <w:b/>
          <w:snapToGrid w:val="0"/>
          <w:color w:val="auto"/>
        </w:rPr>
        <w:t xml:space="preserve"> do(a/) </w:t>
      </w:r>
      <w:r w:rsidR="008C3D35">
        <w:rPr>
          <w:rFonts w:eastAsia="Times New Roman"/>
          <w:b/>
          <w:color w:val="auto"/>
          <w:szCs w:val="24"/>
          <w:lang w:eastAsia="es-ES_tradnl"/>
        </w:rPr>
        <w:t>Conselho Regional de Nutricionistas da 2ª Região</w:t>
      </w:r>
      <w:r w:rsidR="008C3D35">
        <w:rPr>
          <w:b/>
          <w:bCs/>
        </w:rPr>
        <w:t>/RS.</w:t>
      </w:r>
    </w:p>
    <w:p w:rsidR="00647593" w:rsidRPr="005C34A6" w:rsidRDefault="00647593" w:rsidP="00647593">
      <w:pPr>
        <w:snapToGrid/>
        <w:ind w:firstLine="0"/>
        <w:rPr>
          <w:rFonts w:eastAsia="Times New Roman"/>
          <w:b/>
          <w:color w:val="auto"/>
          <w:szCs w:val="24"/>
          <w:lang w:eastAsia="es-ES_tradnl"/>
        </w:rPr>
      </w:pPr>
    </w:p>
    <w:p w:rsidR="00647593" w:rsidRDefault="00647593" w:rsidP="00647593">
      <w:pPr>
        <w:ind w:firstLine="0"/>
        <w:rPr>
          <w:b/>
          <w:snapToGrid w:val="0"/>
          <w:u w:val="single"/>
        </w:rPr>
      </w:pPr>
    </w:p>
    <w:p w:rsidR="005C34A6" w:rsidRPr="005C34A6" w:rsidRDefault="005C34A6" w:rsidP="005C34A6">
      <w:pPr>
        <w:snapToGrid/>
        <w:ind w:firstLine="0"/>
        <w:rPr>
          <w:rFonts w:eastAsia="Times New Roman"/>
          <w:b/>
          <w:color w:val="auto"/>
          <w:szCs w:val="24"/>
          <w:lang w:eastAsia="es-ES_tradnl"/>
        </w:rPr>
      </w:pPr>
    </w:p>
    <w:p w:rsidR="00D97A52" w:rsidRPr="0044204C" w:rsidRDefault="00D97A52" w:rsidP="00D97A52">
      <w:pPr>
        <w:snapToGrid/>
        <w:ind w:firstLine="0"/>
        <w:jc w:val="left"/>
        <w:rPr>
          <w:rFonts w:eastAsia="Times New Roman"/>
          <w:b/>
          <w:color w:val="auto"/>
          <w:szCs w:val="24"/>
          <w:lang w:eastAsia="es-ES_tradnl"/>
        </w:rPr>
      </w:pPr>
    </w:p>
    <w:p w:rsidR="00326D91" w:rsidRPr="0044204C" w:rsidRDefault="00326D91" w:rsidP="00326D91">
      <w:pPr>
        <w:snapToGrid/>
        <w:ind w:firstLine="0"/>
        <w:jc w:val="left"/>
        <w:rPr>
          <w:rFonts w:eastAsia="Times New Roman"/>
          <w:b/>
          <w:color w:val="auto"/>
          <w:szCs w:val="24"/>
          <w:lang w:eastAsia="es-ES_tradnl"/>
        </w:rPr>
      </w:pPr>
    </w:p>
    <w:p w:rsidR="00F82AA6" w:rsidRPr="0044204C" w:rsidRDefault="00F82AA6" w:rsidP="00F82AA6">
      <w:pPr>
        <w:snapToGrid/>
        <w:ind w:firstLine="0"/>
        <w:jc w:val="left"/>
        <w:rPr>
          <w:rFonts w:eastAsia="Times New Roman"/>
          <w:b/>
          <w:color w:val="auto"/>
          <w:szCs w:val="24"/>
          <w:lang w:eastAsia="es-ES_tradnl"/>
        </w:rPr>
      </w:pPr>
    </w:p>
    <w:p w:rsidR="0044204C" w:rsidRPr="0044204C" w:rsidRDefault="0044204C" w:rsidP="0044204C">
      <w:pPr>
        <w:snapToGrid/>
        <w:ind w:firstLine="0"/>
        <w:jc w:val="left"/>
        <w:rPr>
          <w:rFonts w:eastAsia="Times New Roman"/>
          <w:b/>
          <w:color w:val="auto"/>
          <w:szCs w:val="24"/>
          <w:lang w:eastAsia="es-ES_tradnl"/>
        </w:rPr>
      </w:pPr>
    </w:p>
    <w:p w:rsidR="00F36050" w:rsidRPr="00F36050" w:rsidRDefault="00F36050" w:rsidP="00F36050">
      <w:pPr>
        <w:ind w:firstLine="0"/>
        <w:rPr>
          <w:b/>
          <w:snapToGrid w:val="0"/>
          <w:u w:val="single"/>
        </w:rPr>
      </w:pPr>
    </w:p>
    <w:p w:rsidR="00F36050" w:rsidRPr="00F36050" w:rsidRDefault="00F36050" w:rsidP="00F36050">
      <w:pPr>
        <w:ind w:firstLine="0"/>
        <w:rPr>
          <w:snapToGrid w:val="0"/>
        </w:rPr>
      </w:pPr>
    </w:p>
    <w:p w:rsidR="00F36050" w:rsidRPr="00F36050" w:rsidRDefault="00F36050" w:rsidP="00F36050">
      <w:pPr>
        <w:ind w:firstLine="0"/>
        <w:rPr>
          <w:snapToGrid w:val="0"/>
        </w:rPr>
      </w:pPr>
    </w:p>
    <w:p w:rsidR="00F36050" w:rsidRPr="00F36050" w:rsidRDefault="00F36050" w:rsidP="00F36050">
      <w:pPr>
        <w:ind w:firstLine="0"/>
        <w:rPr>
          <w:snapToGrid w:val="0"/>
        </w:rPr>
      </w:pPr>
    </w:p>
    <w:p w:rsidR="00F36050" w:rsidRPr="00F36050" w:rsidRDefault="00F36050" w:rsidP="00F36050">
      <w:pPr>
        <w:tabs>
          <w:tab w:val="left" w:pos="1418"/>
        </w:tabs>
        <w:rPr>
          <w:snapToGrid w:val="0"/>
        </w:rPr>
      </w:pPr>
      <w:r w:rsidRPr="00F36050">
        <w:rPr>
          <w:b/>
          <w:bCs/>
          <w:snapToGrid w:val="0"/>
        </w:rPr>
        <w:t>TELEFÔNICA BRASIL S/A.,</w:t>
      </w:r>
      <w:r w:rsidRPr="00F36050">
        <w:rPr>
          <w:snapToGrid w:val="0"/>
        </w:rPr>
        <w:t xml:space="preserve"> Companhia Aberta, com sede na Avenida Engenheiro Luiz Carlos Berrini, nº. 1376, Bairro Cidade Monções, São Paulo/SP, CEP 04.571-000, inscrita no CNPJ sob o nº. 02.558.157/0001-62, NIRE nº. 35.3.001.5881-4, vem, respeitosamente, perante V. Sa, apresentar </w:t>
      </w:r>
      <w:r w:rsidRPr="00F36050">
        <w:rPr>
          <w:b/>
          <w:snapToGrid w:val="0"/>
          <w:u w:val="single"/>
        </w:rPr>
        <w:t>IMPUGNAÇÃO AO EDITAL</w:t>
      </w:r>
      <w:r w:rsidRPr="00F36050">
        <w:rPr>
          <w:snapToGrid w:val="0"/>
        </w:rPr>
        <w:t xml:space="preserve"> do </w:t>
      </w:r>
      <w:r w:rsidRPr="00F36050">
        <w:rPr>
          <w:snapToGrid w:val="0"/>
          <w:color w:val="auto"/>
        </w:rPr>
        <w:t>PREGÃO</w:t>
      </w:r>
      <w:r w:rsidRPr="00F36050">
        <w:rPr>
          <w:snapToGrid w:val="0"/>
          <w:color w:val="FF0000"/>
        </w:rPr>
        <w:t xml:space="preserve"> </w:t>
      </w:r>
      <w:r w:rsidRPr="00F36050">
        <w:rPr>
          <w:snapToGrid w:val="0"/>
        </w:rPr>
        <w:t>em epígrafe, com sustentação no §2° do artigo 41 da Lei Federal n.º 8.666/1993, pelos fundamentos demonstrados nesta peça.</w:t>
      </w:r>
    </w:p>
    <w:p w:rsidR="00F36050" w:rsidRPr="00F36050" w:rsidRDefault="00F36050" w:rsidP="00F36050">
      <w:pPr>
        <w:rPr>
          <w:snapToGrid w:val="0"/>
        </w:rPr>
      </w:pPr>
    </w:p>
    <w:p w:rsidR="00F36050" w:rsidRPr="00F36050" w:rsidRDefault="00F36050" w:rsidP="00F36050">
      <w:pPr>
        <w:spacing w:before="120" w:after="120"/>
        <w:ind w:firstLine="0"/>
        <w:outlineLvl w:val="0"/>
        <w:rPr>
          <w:b/>
          <w:bCs/>
          <w:color w:val="auto"/>
          <w:kern w:val="28"/>
          <w:szCs w:val="24"/>
          <w:u w:val="single"/>
          <w:lang w:eastAsia="ar-SA"/>
        </w:rPr>
      </w:pPr>
      <w:r w:rsidRPr="00F36050">
        <w:rPr>
          <w:b/>
          <w:bCs/>
          <w:color w:val="auto"/>
          <w:kern w:val="28"/>
          <w:szCs w:val="24"/>
          <w:u w:val="single"/>
          <w:lang w:eastAsia="ar-SA"/>
        </w:rPr>
        <w:t>I - TEMPESTIVIDADE.</w:t>
      </w:r>
    </w:p>
    <w:p w:rsidR="00F36050" w:rsidRPr="00F36050" w:rsidRDefault="00F36050" w:rsidP="00F36050">
      <w:pPr>
        <w:rPr>
          <w:snapToGrid w:val="0"/>
        </w:rPr>
      </w:pPr>
    </w:p>
    <w:p w:rsidR="00647593" w:rsidRPr="00C323C4" w:rsidRDefault="00F36050" w:rsidP="00FD384B">
      <w:pPr>
        <w:rPr>
          <w:snapToGrid w:val="0"/>
          <w:color w:val="auto"/>
          <w:szCs w:val="24"/>
          <w:lang w:eastAsia="en-US"/>
        </w:rPr>
      </w:pPr>
      <w:r w:rsidRPr="003B3E8F">
        <w:rPr>
          <w:snapToGrid w:val="0"/>
          <w:color w:val="auto"/>
          <w:szCs w:val="22"/>
          <w:lang w:eastAsia="en-US"/>
        </w:rPr>
        <w:t>Inicialmente, comprova-se a tempestividade desta impugnação, dado que a sess</w:t>
      </w:r>
      <w:r w:rsidR="00441003" w:rsidRPr="003B3E8F">
        <w:rPr>
          <w:snapToGrid w:val="0"/>
          <w:color w:val="auto"/>
          <w:szCs w:val="22"/>
          <w:lang w:eastAsia="en-US"/>
        </w:rPr>
        <w:t xml:space="preserve">ão </w:t>
      </w:r>
      <w:r w:rsidR="00FD4928">
        <w:rPr>
          <w:snapToGrid w:val="0"/>
          <w:color w:val="auto"/>
          <w:szCs w:val="22"/>
          <w:lang w:eastAsia="en-US"/>
        </w:rPr>
        <w:t>pública está prevista para 04/09</w:t>
      </w:r>
      <w:r w:rsidR="00D05CAC">
        <w:rPr>
          <w:snapToGrid w:val="0"/>
          <w:color w:val="auto"/>
          <w:szCs w:val="22"/>
          <w:lang w:eastAsia="en-US"/>
        </w:rPr>
        <w:t>/2017</w:t>
      </w:r>
      <w:r w:rsidRPr="003B3E8F">
        <w:rPr>
          <w:snapToGrid w:val="0"/>
          <w:color w:val="auto"/>
          <w:szCs w:val="22"/>
          <w:lang w:eastAsia="en-US"/>
        </w:rPr>
        <w:t>, tendo sido, portanto, cumprido o prazo pretérito de 02 (dois) dias úteis previsto no artigo 41, §2.º da Lei Federal n.º 8.666/1993, bem como no</w:t>
      </w:r>
      <w:r w:rsidRPr="003B3E8F">
        <w:rPr>
          <w:bCs/>
          <w:snapToGrid w:val="0"/>
          <w:color w:val="auto"/>
          <w:szCs w:val="22"/>
          <w:lang w:eastAsia="en-US"/>
        </w:rPr>
        <w:t xml:space="preserve"> </w:t>
      </w:r>
      <w:r w:rsidR="00FD4928">
        <w:rPr>
          <w:bCs/>
          <w:snapToGrid w:val="0"/>
          <w:color w:val="auto"/>
          <w:szCs w:val="22"/>
          <w:lang w:eastAsia="en-US"/>
        </w:rPr>
        <w:t>item 20</w:t>
      </w:r>
      <w:r w:rsidR="00647593">
        <w:rPr>
          <w:bCs/>
          <w:snapToGrid w:val="0"/>
          <w:color w:val="auto"/>
          <w:szCs w:val="22"/>
          <w:lang w:eastAsia="en-US"/>
        </w:rPr>
        <w:t xml:space="preserve">.1 </w:t>
      </w:r>
      <w:r w:rsidR="003B3E8F">
        <w:rPr>
          <w:snapToGrid w:val="0"/>
          <w:color w:val="auto"/>
          <w:szCs w:val="24"/>
          <w:lang w:eastAsia="en-US"/>
        </w:rPr>
        <w:t xml:space="preserve">do </w:t>
      </w:r>
      <w:r w:rsidRPr="003B3E8F">
        <w:rPr>
          <w:snapToGrid w:val="0"/>
          <w:color w:val="auto"/>
          <w:szCs w:val="24"/>
          <w:lang w:eastAsia="en-US"/>
        </w:rPr>
        <w:t>Edital do Pregão em comento.</w:t>
      </w:r>
    </w:p>
    <w:p w:rsidR="00FD384B" w:rsidRDefault="00FD384B" w:rsidP="00F36050">
      <w:pPr>
        <w:ind w:firstLine="0"/>
        <w:outlineLvl w:val="0"/>
        <w:rPr>
          <w:b/>
          <w:bCs/>
          <w:color w:val="auto"/>
          <w:kern w:val="28"/>
          <w:szCs w:val="24"/>
          <w:u w:val="single"/>
          <w:lang w:eastAsia="ar-SA"/>
        </w:rPr>
      </w:pPr>
    </w:p>
    <w:p w:rsidR="00FD384B" w:rsidRDefault="00FD384B" w:rsidP="00F36050">
      <w:pPr>
        <w:ind w:firstLine="0"/>
        <w:outlineLvl w:val="0"/>
        <w:rPr>
          <w:b/>
          <w:bCs/>
          <w:color w:val="auto"/>
          <w:kern w:val="28"/>
          <w:szCs w:val="24"/>
          <w:u w:val="single"/>
          <w:lang w:eastAsia="ar-SA"/>
        </w:rPr>
      </w:pPr>
    </w:p>
    <w:p w:rsidR="00F36050" w:rsidRPr="00F36050" w:rsidRDefault="00F36050" w:rsidP="00F36050">
      <w:pPr>
        <w:ind w:firstLine="0"/>
        <w:outlineLvl w:val="0"/>
        <w:rPr>
          <w:b/>
          <w:bCs/>
          <w:color w:val="auto"/>
          <w:kern w:val="28"/>
          <w:szCs w:val="24"/>
          <w:u w:val="single"/>
          <w:lang w:eastAsia="ar-SA"/>
        </w:rPr>
      </w:pPr>
      <w:r w:rsidRPr="00F36050">
        <w:rPr>
          <w:b/>
          <w:bCs/>
          <w:color w:val="auto"/>
          <w:kern w:val="28"/>
          <w:szCs w:val="24"/>
          <w:u w:val="single"/>
          <w:lang w:eastAsia="ar-SA"/>
        </w:rPr>
        <w:t xml:space="preserve">II - OBJETO DA LICITAÇÃO. </w:t>
      </w:r>
    </w:p>
    <w:p w:rsidR="00F36050" w:rsidRPr="00F36050" w:rsidRDefault="00F36050" w:rsidP="00F36050">
      <w:pPr>
        <w:rPr>
          <w:snapToGrid w:val="0"/>
        </w:rPr>
      </w:pPr>
    </w:p>
    <w:p w:rsidR="00F36050" w:rsidRPr="003B5531" w:rsidRDefault="00F36050" w:rsidP="00094D5D">
      <w:pPr>
        <w:rPr>
          <w:rFonts w:eastAsia="Times New Roman"/>
          <w:i/>
          <w:color w:val="auto"/>
          <w:szCs w:val="24"/>
          <w:lang w:eastAsia="ar-SA"/>
        </w:rPr>
      </w:pPr>
      <w:r w:rsidRPr="00F36050">
        <w:rPr>
          <w:snapToGrid w:val="0"/>
        </w:rPr>
        <w:t xml:space="preserve">O Pregão em referência tem por objeto </w:t>
      </w:r>
      <w:r w:rsidR="004A5C58" w:rsidRPr="003B5531">
        <w:rPr>
          <w:rFonts w:eastAsia="Times New Roman"/>
          <w:i/>
          <w:color w:val="auto"/>
          <w:szCs w:val="24"/>
          <w:lang w:eastAsia="ar-SA"/>
        </w:rPr>
        <w:t>“</w:t>
      </w:r>
      <w:r w:rsidR="00094D5D" w:rsidRPr="00094D5D">
        <w:rPr>
          <w:rFonts w:eastAsia="Times New Roman"/>
          <w:i/>
          <w:color w:val="auto"/>
          <w:szCs w:val="24"/>
          <w:lang w:eastAsia="ar-SA"/>
        </w:rPr>
        <w:t xml:space="preserve">O objeto da presente Licitação é a contratação de pessoa jurídica para prestação de serviços de Telefonia Móvel Celular (voz e dados – internet móvel 4G), para ligações locais (VC1) e longa distância (VC2 e VC3) para 10 (dez) acessos móveis em regime de comodato, sem custo adicional e aparelhos devidamente habilitados (8 linhas com área de registro em Porto Alegre/RS e 2 linhas em Santa Maria/RS), sendo 7 (sete) linhas com internet móvel 4G, abrangendo os serviços de roaming nacional e internacional, conforme as condições e especificações constantes neste </w:t>
      </w:r>
      <w:r w:rsidR="00094D5D">
        <w:rPr>
          <w:rFonts w:eastAsia="Times New Roman"/>
          <w:i/>
          <w:color w:val="auto"/>
          <w:szCs w:val="24"/>
          <w:lang w:eastAsia="ar-SA"/>
        </w:rPr>
        <w:t>Edital e Termo de Referência</w:t>
      </w:r>
      <w:r w:rsidRPr="003B5531">
        <w:rPr>
          <w:rFonts w:eastAsia="Times New Roman"/>
          <w:i/>
          <w:color w:val="auto"/>
          <w:szCs w:val="24"/>
          <w:lang w:eastAsia="ar-SA"/>
        </w:rPr>
        <w:t>”</w:t>
      </w:r>
      <w:r w:rsidR="004A5C58" w:rsidRPr="003B5531">
        <w:rPr>
          <w:rFonts w:eastAsia="Times New Roman"/>
          <w:i/>
          <w:color w:val="auto"/>
          <w:szCs w:val="24"/>
          <w:lang w:eastAsia="ar-SA"/>
        </w:rPr>
        <w:t>.</w:t>
      </w:r>
      <w:r w:rsidRPr="003B5531">
        <w:rPr>
          <w:rFonts w:eastAsia="Times New Roman"/>
          <w:i/>
          <w:color w:val="auto"/>
          <w:szCs w:val="24"/>
          <w:lang w:eastAsia="ar-SA"/>
        </w:rPr>
        <w:t xml:space="preserve"> </w:t>
      </w:r>
    </w:p>
    <w:p w:rsidR="00F36050" w:rsidRPr="00F36050" w:rsidRDefault="00F36050" w:rsidP="00F36050">
      <w:pPr>
        <w:keepNext/>
        <w:outlineLvl w:val="4"/>
        <w:rPr>
          <w:rFonts w:eastAsia="Times New Roman"/>
          <w:i/>
          <w:color w:val="auto"/>
          <w:szCs w:val="24"/>
          <w:lang w:eastAsia="ar-SA"/>
        </w:rPr>
      </w:pPr>
    </w:p>
    <w:p w:rsidR="00F36050" w:rsidRPr="00F36050" w:rsidRDefault="00F36050" w:rsidP="00F36050">
      <w:pPr>
        <w:rPr>
          <w:snapToGrid w:val="0"/>
        </w:rPr>
      </w:pPr>
      <w:r w:rsidRPr="00F36050">
        <w:rPr>
          <w:snapToGrid w:val="0"/>
        </w:rPr>
        <w:t xml:space="preserve">A presente impugnação apresenta questões pontuais que viciam o ato convocatório, quer por discreparem </w:t>
      </w:r>
      <w:r w:rsidRPr="00F36050">
        <w:rPr>
          <w:snapToGrid w:val="0"/>
          <w:color w:val="auto"/>
        </w:rPr>
        <w:t>do rito estabelecido na Lei Federal n.º 8.666/1993 (com alterações posteriores) e na Lei Federal n.º 10.520/2002, quer por restringirem a competitividade, condição esta essencial para a validade de qualquer procedimento licitatório.</w:t>
      </w:r>
    </w:p>
    <w:p w:rsidR="00F36050" w:rsidRPr="00F36050" w:rsidRDefault="00F36050" w:rsidP="00F36050">
      <w:pPr>
        <w:rPr>
          <w:snapToGrid w:val="0"/>
        </w:rPr>
      </w:pPr>
    </w:p>
    <w:p w:rsidR="00F36050" w:rsidRPr="00F36050" w:rsidRDefault="00F36050" w:rsidP="00F36050">
      <w:pPr>
        <w:rPr>
          <w:snapToGrid w:val="0"/>
        </w:rPr>
      </w:pPr>
      <w:r w:rsidRPr="00F36050">
        <w:rPr>
          <w:snapToGrid w:val="0"/>
        </w:rPr>
        <w:t>Pretende também apontar situações que devem ser esclarecidas, facilitando-se a compreensão de determinadas cláusulas e evitando-se interpretações equivocadas.</w:t>
      </w:r>
    </w:p>
    <w:p w:rsidR="00F36050" w:rsidRPr="00F36050" w:rsidRDefault="00F36050" w:rsidP="00F36050">
      <w:pPr>
        <w:rPr>
          <w:snapToGrid w:val="0"/>
        </w:rPr>
      </w:pPr>
    </w:p>
    <w:p w:rsidR="00F36050" w:rsidRPr="00F36050" w:rsidRDefault="00303CB4" w:rsidP="00F36050">
      <w:pPr>
        <w:rPr>
          <w:snapToGrid w:val="0"/>
        </w:rPr>
      </w:pPr>
      <w:r w:rsidRPr="00303CB4">
        <w:rPr>
          <w:b/>
          <w:snapToGrid w:val="0"/>
          <w:color w:val="auto"/>
          <w:u w:val="single"/>
        </w:rPr>
        <w:t>Dezesseis</w:t>
      </w:r>
      <w:r w:rsidR="000D253E" w:rsidRPr="00303CB4">
        <w:rPr>
          <w:b/>
          <w:snapToGrid w:val="0"/>
          <w:color w:val="auto"/>
          <w:u w:val="single"/>
        </w:rPr>
        <w:t xml:space="preserve"> </w:t>
      </w:r>
      <w:r w:rsidR="00F36050" w:rsidRPr="00303CB4">
        <w:rPr>
          <w:snapToGrid w:val="0"/>
          <w:color w:val="auto"/>
        </w:rPr>
        <w:t xml:space="preserve">são </w:t>
      </w:r>
      <w:r w:rsidR="00F36050" w:rsidRPr="00F36050">
        <w:rPr>
          <w:snapToGrid w:val="0"/>
        </w:rPr>
        <w:t>os fundamentos que justificam a presente impugnação, conforme exposição a seguir.</w:t>
      </w:r>
    </w:p>
    <w:p w:rsidR="00F36050" w:rsidRPr="00F36050" w:rsidRDefault="00F36050" w:rsidP="00F36050">
      <w:pPr>
        <w:rPr>
          <w:snapToGrid w:val="0"/>
        </w:rPr>
      </w:pPr>
    </w:p>
    <w:p w:rsidR="00F36050" w:rsidRPr="00F36050" w:rsidRDefault="00F36050" w:rsidP="00F36050">
      <w:pPr>
        <w:ind w:firstLine="0"/>
        <w:outlineLvl w:val="0"/>
        <w:rPr>
          <w:b/>
          <w:bCs/>
          <w:color w:val="auto"/>
          <w:kern w:val="28"/>
          <w:szCs w:val="32"/>
          <w:u w:val="single"/>
          <w:lang w:eastAsia="ar-SA"/>
        </w:rPr>
      </w:pPr>
      <w:r w:rsidRPr="00F36050">
        <w:rPr>
          <w:b/>
          <w:bCs/>
          <w:color w:val="auto"/>
          <w:kern w:val="28"/>
          <w:szCs w:val="32"/>
          <w:u w:val="single"/>
          <w:lang w:eastAsia="ar-SA"/>
        </w:rPr>
        <w:t>III - FUNDAMENTOS DA IMPUGNAÇÃO AO EDITAL.</w:t>
      </w:r>
    </w:p>
    <w:p w:rsidR="00F36050" w:rsidRPr="00F36050" w:rsidRDefault="00F36050" w:rsidP="00F36050">
      <w:pPr>
        <w:spacing w:before="120" w:after="120"/>
        <w:ind w:firstLine="0"/>
        <w:outlineLvl w:val="0"/>
        <w:rPr>
          <w:b/>
          <w:bCs/>
          <w:color w:val="auto"/>
          <w:kern w:val="28"/>
          <w:szCs w:val="32"/>
          <w:u w:val="single"/>
          <w:lang w:eastAsia="ar-SA"/>
        </w:rPr>
      </w:pPr>
    </w:p>
    <w:p w:rsidR="008450E1" w:rsidRDefault="000F371B" w:rsidP="008450E1">
      <w:pPr>
        <w:pStyle w:val="Ttulo"/>
      </w:pPr>
      <w:r w:rsidRPr="0054605D">
        <w:t>01.</w:t>
      </w:r>
      <w:r w:rsidR="00BB66DA" w:rsidRPr="0054605D">
        <w:rPr>
          <w:rFonts w:eastAsia="Times New Roman"/>
          <w:bCs/>
          <w:kern w:val="28"/>
          <w:szCs w:val="32"/>
        </w:rPr>
        <w:t xml:space="preserve"> </w:t>
      </w:r>
      <w:r w:rsidR="008450E1">
        <w:t>ESCLARECIMENTO QUANTO AO PRAZO PARA ASSINATURA DO CONTRATO.</w:t>
      </w:r>
    </w:p>
    <w:p w:rsidR="008450E1" w:rsidRDefault="008450E1" w:rsidP="008450E1">
      <w:pPr>
        <w:pStyle w:val="PPC"/>
      </w:pPr>
    </w:p>
    <w:p w:rsidR="008450E1" w:rsidRDefault="008450E1" w:rsidP="008450E1">
      <w:pPr>
        <w:pStyle w:val="PPC"/>
      </w:pPr>
      <w:r>
        <w:t>O edital é omisso quanto ao prazo para assinatura do contrato, informação exigida pelo art. 40, inc. II da Lei 8666/1993:</w:t>
      </w:r>
    </w:p>
    <w:p w:rsidR="008450E1" w:rsidRDefault="008450E1" w:rsidP="008450E1">
      <w:pPr>
        <w:pStyle w:val="PPC"/>
      </w:pPr>
    </w:p>
    <w:p w:rsidR="008450E1" w:rsidRPr="007F7F66" w:rsidRDefault="008450E1" w:rsidP="008450E1">
      <w:pPr>
        <w:pStyle w:val="Citao"/>
      </w:pPr>
      <w:r w:rsidRPr="007F7F66">
        <w:t>Art. 40.  O edital conterá no preâmbulo o número de ordem em série anual, o nome da repartição interessada e de seu setor, a modalidade, o regime de execução e o tipo da licitação, a menção de que será regida por esta Lei, o local, dia e hora para recebimento da documentação e proposta, bem como para início da abertura dos envelopes, e indicará, obrigatoriamente, o seguinte:</w:t>
      </w:r>
    </w:p>
    <w:p w:rsidR="008450E1" w:rsidRPr="007F7F66" w:rsidRDefault="008450E1" w:rsidP="008450E1">
      <w:pPr>
        <w:pStyle w:val="Citao"/>
      </w:pPr>
      <w:r>
        <w:t>(...)</w:t>
      </w:r>
    </w:p>
    <w:p w:rsidR="008450E1" w:rsidRPr="007F7F66" w:rsidRDefault="008450E1" w:rsidP="008450E1">
      <w:pPr>
        <w:pStyle w:val="Citao"/>
      </w:pPr>
      <w:r w:rsidRPr="007F7F66">
        <w:lastRenderedPageBreak/>
        <w:t xml:space="preserve">II - </w:t>
      </w:r>
      <w:r w:rsidRPr="007F7F66">
        <w:rPr>
          <w:b/>
          <w:u w:val="single"/>
        </w:rPr>
        <w:t>prazo e condições para assinatura do contrato</w:t>
      </w:r>
      <w:r w:rsidRPr="007F7F66">
        <w:t xml:space="preserve"> ou retirada dos instrumentos, como previsto no art. 64 desta Lei, para execução do contrato e para entrega do objeto da licitação;</w:t>
      </w:r>
      <w:r>
        <w:t xml:space="preserve"> </w:t>
      </w:r>
      <w:r w:rsidRPr="007F7F66">
        <w:rPr>
          <w:i/>
        </w:rPr>
        <w:t>(grifos de nossa autoria</w:t>
      </w:r>
      <w:proofErr w:type="gramStart"/>
      <w:r w:rsidRPr="007F7F66">
        <w:rPr>
          <w:i/>
        </w:rPr>
        <w:t>)</w:t>
      </w:r>
      <w:proofErr w:type="gramEnd"/>
    </w:p>
    <w:p w:rsidR="008450E1" w:rsidRDefault="008450E1" w:rsidP="008450E1">
      <w:pPr>
        <w:pStyle w:val="PPC"/>
      </w:pPr>
    </w:p>
    <w:p w:rsidR="008450E1" w:rsidRDefault="008450E1" w:rsidP="008450E1">
      <w:pPr>
        <w:pStyle w:val="PPC"/>
      </w:pPr>
      <w:r>
        <w:t xml:space="preserve">Para que se defina esse prazo, deve ser considerado que o trâmite interno de uma grande empresa – como é também em relação ao Conselho Regional de Nutricionistas da 2ª Região </w:t>
      </w:r>
      <w:r w:rsidRPr="007F7F66">
        <w:t>– depende de um prazo razoável para cumprimento dos rituais internos de assinatura dos responsáveis legais</w:t>
      </w:r>
      <w:r>
        <w:t>, até mesmo a presença física dos mesmos na empresa.</w:t>
      </w:r>
    </w:p>
    <w:p w:rsidR="008450E1" w:rsidRDefault="008450E1" w:rsidP="008450E1">
      <w:pPr>
        <w:pStyle w:val="PPC"/>
      </w:pPr>
    </w:p>
    <w:p w:rsidR="008450E1" w:rsidRDefault="008450E1" w:rsidP="008450E1">
      <w:pPr>
        <w:pStyle w:val="PPC"/>
      </w:pPr>
      <w:r>
        <w:t xml:space="preserve">Sendo assim, </w:t>
      </w:r>
      <w:r>
        <w:rPr>
          <w:b/>
        </w:rPr>
        <w:t xml:space="preserve">requer-se o </w:t>
      </w:r>
      <w:r>
        <w:rPr>
          <w:b/>
          <w:u w:val="single"/>
        </w:rPr>
        <w:t xml:space="preserve">prazo de </w:t>
      </w:r>
      <w:r w:rsidRPr="00EB5873">
        <w:rPr>
          <w:b/>
          <w:color w:val="000000"/>
          <w:u w:val="single"/>
        </w:rPr>
        <w:t>10 (dez)</w:t>
      </w:r>
      <w:r>
        <w:rPr>
          <w:b/>
          <w:u w:val="single"/>
        </w:rPr>
        <w:t xml:space="preserve"> dias</w:t>
      </w:r>
      <w:r>
        <w:rPr>
          <w:b/>
        </w:rPr>
        <w:t>,</w:t>
      </w:r>
      <w:r>
        <w:t xml:space="preserve"> suficiente para que a contratação possa ser efetivada em prazo adequado à necessidade administrativa e permitindo que haja um tempo razoável para a assinatura do termo de contrato respectivo.</w:t>
      </w:r>
    </w:p>
    <w:p w:rsidR="00F824E4" w:rsidRDefault="00F824E4" w:rsidP="00544662">
      <w:pPr>
        <w:suppressAutoHyphens/>
        <w:ind w:firstLine="0"/>
        <w:outlineLvl w:val="0"/>
        <w:rPr>
          <w:b/>
          <w:bCs/>
          <w:color w:val="auto"/>
          <w:sz w:val="20"/>
          <w:u w:val="single"/>
        </w:rPr>
      </w:pPr>
    </w:p>
    <w:p w:rsidR="00110E8C" w:rsidRPr="00081B15" w:rsidRDefault="00110E8C" w:rsidP="00110E8C">
      <w:pPr>
        <w:pStyle w:val="PPC"/>
        <w:ind w:firstLine="0"/>
        <w:rPr>
          <w:b/>
          <w:szCs w:val="24"/>
          <w:u w:val="single"/>
        </w:rPr>
      </w:pPr>
      <w:r>
        <w:rPr>
          <w:b/>
          <w:szCs w:val="24"/>
          <w:u w:val="single"/>
        </w:rPr>
        <w:t>02.</w:t>
      </w:r>
      <w:r w:rsidRPr="00081B15">
        <w:rPr>
          <w:b/>
          <w:szCs w:val="24"/>
          <w:u w:val="single"/>
        </w:rPr>
        <w:t xml:space="preserve"> ESCL</w:t>
      </w:r>
      <w:r>
        <w:rPr>
          <w:b/>
          <w:szCs w:val="24"/>
          <w:u w:val="single"/>
        </w:rPr>
        <w:t>ARECIMENTO QUANTO A COBERTURA DA TECNOLOGIA 4G.</w:t>
      </w:r>
    </w:p>
    <w:p w:rsidR="00110E8C" w:rsidRPr="00081B15" w:rsidRDefault="00110E8C" w:rsidP="00110E8C">
      <w:pPr>
        <w:pStyle w:val="PPC"/>
        <w:ind w:left="720" w:firstLine="0"/>
        <w:rPr>
          <w:szCs w:val="24"/>
        </w:rPr>
      </w:pPr>
    </w:p>
    <w:p w:rsidR="00110E8C" w:rsidRPr="00081B15" w:rsidRDefault="00110E8C" w:rsidP="00110E8C">
      <w:pPr>
        <w:pStyle w:val="PPC"/>
        <w:rPr>
          <w:i/>
          <w:szCs w:val="24"/>
          <w:highlight w:val="black"/>
        </w:rPr>
      </w:pPr>
      <w:r w:rsidRPr="00081B15">
        <w:rPr>
          <w:szCs w:val="24"/>
        </w:rPr>
        <w:t>O Anexo I (Termo de Referência) estabelece</w:t>
      </w:r>
      <w:r w:rsidR="005458EF">
        <w:rPr>
          <w:szCs w:val="24"/>
        </w:rPr>
        <w:t>,</w:t>
      </w:r>
      <w:r w:rsidR="005458EF">
        <w:rPr>
          <w:szCs w:val="24"/>
        </w:rPr>
        <w:tab/>
        <w:t xml:space="preserve"> em seu item 4.1, </w:t>
      </w:r>
      <w:r w:rsidRPr="00081B15">
        <w:rPr>
          <w:szCs w:val="24"/>
        </w:rPr>
        <w:t xml:space="preserve"> que </w:t>
      </w:r>
      <w:r w:rsidRPr="00081B15">
        <w:rPr>
          <w:i/>
          <w:szCs w:val="24"/>
        </w:rPr>
        <w:t>“</w:t>
      </w:r>
      <w:r w:rsidR="005458EF" w:rsidRPr="005458EF">
        <w:rPr>
          <w:i/>
          <w:szCs w:val="24"/>
        </w:rPr>
        <w:t>O objeto da presente Licitação é a contratação de pessoa jurídica para prestação de serviços de Telefonia Móvel Celular (voz e dados – internet móvel 4G), para ligações locais (VC1) e longa distância (VC2 e VC3) para 10 (dez) acessos móveis em regime de comodato, sem custo adicional e aparelhos devidamente habilitados (8 linhas com área de registro em Porto Alegre/RS e 2 linhas em Santa Maria/RS), sendo 7 (sete) linhas com internet móvel 4G, abrangendo os serviços de roaming nacional e internacional</w:t>
      </w:r>
      <w:r w:rsidR="005458EF">
        <w:rPr>
          <w:i/>
          <w:szCs w:val="24"/>
        </w:rPr>
        <w:t>”.</w:t>
      </w:r>
    </w:p>
    <w:p w:rsidR="00110E8C" w:rsidRPr="00081B15" w:rsidRDefault="00110E8C" w:rsidP="00110E8C">
      <w:pPr>
        <w:pStyle w:val="PPC"/>
        <w:rPr>
          <w:szCs w:val="24"/>
        </w:rPr>
      </w:pPr>
    </w:p>
    <w:p w:rsidR="00110E8C" w:rsidRPr="00081B15" w:rsidRDefault="005458EF" w:rsidP="00110E8C">
      <w:pPr>
        <w:pStyle w:val="PPC"/>
        <w:rPr>
          <w:szCs w:val="24"/>
        </w:rPr>
      </w:pPr>
      <w:r>
        <w:rPr>
          <w:szCs w:val="24"/>
        </w:rPr>
        <w:t>Imperioso é esclarecer que po</w:t>
      </w:r>
      <w:r w:rsidR="009B7C7E">
        <w:rPr>
          <w:szCs w:val="24"/>
        </w:rPr>
        <w:t>de</w:t>
      </w:r>
      <w:r>
        <w:rPr>
          <w:szCs w:val="24"/>
        </w:rPr>
        <w:t xml:space="preserve"> haver áreas onde não exista 4G, </w:t>
      </w:r>
      <w:r w:rsidRPr="005458EF">
        <w:rPr>
          <w:szCs w:val="24"/>
        </w:rPr>
        <w:t>principalmente</w:t>
      </w:r>
      <w:r w:rsidR="009B7C7E">
        <w:rPr>
          <w:szCs w:val="24"/>
        </w:rPr>
        <w:t>,</w:t>
      </w:r>
      <w:r w:rsidRPr="005458EF">
        <w:rPr>
          <w:szCs w:val="24"/>
        </w:rPr>
        <w:t xml:space="preserve"> se as linhas se deslocarem nacionalmente.</w:t>
      </w:r>
      <w:r w:rsidR="00110E8C" w:rsidRPr="00081B15">
        <w:rPr>
          <w:szCs w:val="24"/>
        </w:rPr>
        <w:t xml:space="preserve"> </w:t>
      </w:r>
      <w:r w:rsidR="009B7C7E">
        <w:rPr>
          <w:szCs w:val="24"/>
        </w:rPr>
        <w:t xml:space="preserve">Diante disso, entende-se que </w:t>
      </w:r>
      <w:r w:rsidR="009B7C7E" w:rsidRPr="009B7C7E">
        <w:rPr>
          <w:szCs w:val="24"/>
        </w:rPr>
        <w:t xml:space="preserve">nas localidades onde não houver cobertura da tecnologia 4G será aceita a tecnologia 3G, sendo que ambas serão providas em conformidade </w:t>
      </w:r>
      <w:r w:rsidR="009B7C7E">
        <w:rPr>
          <w:szCs w:val="24"/>
        </w:rPr>
        <w:t>com a regulamentação da Anatel.</w:t>
      </w:r>
    </w:p>
    <w:p w:rsidR="00110E8C" w:rsidRPr="00081B15" w:rsidRDefault="00110E8C" w:rsidP="009B7C7E">
      <w:pPr>
        <w:pStyle w:val="PPC"/>
        <w:ind w:firstLine="0"/>
        <w:rPr>
          <w:szCs w:val="24"/>
        </w:rPr>
      </w:pPr>
    </w:p>
    <w:p w:rsidR="00C94E6F" w:rsidRDefault="009B7C7E" w:rsidP="00C94E6F">
      <w:pPr>
        <w:pStyle w:val="PPC"/>
        <w:ind w:firstLine="0"/>
        <w:rPr>
          <w:szCs w:val="24"/>
        </w:rPr>
      </w:pPr>
      <w:r>
        <w:rPr>
          <w:szCs w:val="24"/>
        </w:rPr>
        <w:t>Neste contexto</w:t>
      </w:r>
      <w:r w:rsidR="00110E8C">
        <w:rPr>
          <w:szCs w:val="24"/>
        </w:rPr>
        <w:t xml:space="preserve">, requer seja </w:t>
      </w:r>
      <w:r>
        <w:rPr>
          <w:szCs w:val="24"/>
        </w:rPr>
        <w:t>e</w:t>
      </w:r>
      <w:r w:rsidR="006D5F50">
        <w:rPr>
          <w:szCs w:val="24"/>
        </w:rPr>
        <w:t>sclarecido o item em comento para que seja atendida</w:t>
      </w:r>
      <w:r w:rsidR="00110E8C">
        <w:rPr>
          <w:szCs w:val="24"/>
        </w:rPr>
        <w:t xml:space="preserve"> plenamente a pretensão administrativa, sem</w:t>
      </w:r>
      <w:r w:rsidR="006D5F50">
        <w:rPr>
          <w:szCs w:val="24"/>
        </w:rPr>
        <w:t>, contudo, haver</w:t>
      </w:r>
      <w:r w:rsidR="00110E8C">
        <w:rPr>
          <w:szCs w:val="24"/>
        </w:rPr>
        <w:t xml:space="preserve"> restrição da competitividade.  </w:t>
      </w:r>
    </w:p>
    <w:p w:rsidR="00C94E6F" w:rsidRDefault="00C94E6F" w:rsidP="00C94E6F">
      <w:pPr>
        <w:pStyle w:val="PPC"/>
        <w:ind w:firstLine="0"/>
        <w:rPr>
          <w:szCs w:val="24"/>
        </w:rPr>
      </w:pPr>
    </w:p>
    <w:p w:rsidR="00C94E6F" w:rsidRDefault="00C94E6F" w:rsidP="00C94E6F">
      <w:pPr>
        <w:pStyle w:val="PPC"/>
        <w:ind w:firstLine="0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03. COTAÇÃO DO SERVIÇO DE CAIXA POSTAL </w:t>
      </w:r>
      <w:r w:rsidRPr="00D60560">
        <w:rPr>
          <w:b/>
          <w:szCs w:val="24"/>
          <w:u w:val="single"/>
        </w:rPr>
        <w:t xml:space="preserve">INCOMPATÍVEL COM O MÉTODO DE TARIFAÇÃO </w:t>
      </w:r>
    </w:p>
    <w:p w:rsidR="00C94E6F" w:rsidRDefault="00C94E6F" w:rsidP="00C94E6F">
      <w:pPr>
        <w:pStyle w:val="PPC"/>
        <w:rPr>
          <w:b/>
          <w:szCs w:val="24"/>
          <w:u w:val="single"/>
        </w:rPr>
      </w:pPr>
    </w:p>
    <w:p w:rsidR="00C94E6F" w:rsidRPr="00547FB4" w:rsidRDefault="00C94E6F" w:rsidP="00C94E6F">
      <w:pPr>
        <w:pStyle w:val="PPC"/>
        <w:rPr>
          <w:szCs w:val="24"/>
        </w:rPr>
      </w:pPr>
      <w:r w:rsidRPr="003B5EDB">
        <w:rPr>
          <w:szCs w:val="24"/>
        </w:rPr>
        <w:lastRenderedPageBreak/>
        <w:t xml:space="preserve">A planilha indicativa para os licitantes presente no item 7.1 do Anexo I – Termo de Referência destina coluna </w:t>
      </w:r>
      <w:r w:rsidRPr="00547FB4">
        <w:rPr>
          <w:szCs w:val="24"/>
        </w:rPr>
        <w:t xml:space="preserve">para a determinação do consumo mensal </w:t>
      </w:r>
      <w:r>
        <w:rPr>
          <w:szCs w:val="24"/>
        </w:rPr>
        <w:t>do serviço de Caixa Postal.</w:t>
      </w:r>
    </w:p>
    <w:p w:rsidR="00C94E6F" w:rsidRDefault="00C94E6F" w:rsidP="00C94E6F">
      <w:pPr>
        <w:pStyle w:val="PPC"/>
        <w:ind w:firstLine="0"/>
        <w:rPr>
          <w:szCs w:val="24"/>
        </w:rPr>
      </w:pPr>
    </w:p>
    <w:p w:rsidR="00C94E6F" w:rsidRDefault="00C94E6F" w:rsidP="00C94E6F">
      <w:pPr>
        <w:pStyle w:val="PPC"/>
        <w:ind w:firstLine="1440"/>
        <w:rPr>
          <w:szCs w:val="24"/>
        </w:rPr>
      </w:pPr>
      <w:r w:rsidRPr="00D60560">
        <w:rPr>
          <w:szCs w:val="24"/>
        </w:rPr>
        <w:t xml:space="preserve">Todavia, a estimativa de tráfego da espécie é incompatível com o método de tarifação, dado que indica </w:t>
      </w:r>
      <w:r>
        <w:rPr>
          <w:szCs w:val="24"/>
        </w:rPr>
        <w:t>a cotação por acessos.</w:t>
      </w:r>
    </w:p>
    <w:p w:rsidR="00C94E6F" w:rsidRDefault="00C94E6F" w:rsidP="00C94E6F">
      <w:pPr>
        <w:pStyle w:val="PPC"/>
        <w:ind w:firstLine="1440"/>
        <w:rPr>
          <w:szCs w:val="24"/>
        </w:rPr>
      </w:pPr>
    </w:p>
    <w:p w:rsidR="00C94E6F" w:rsidRPr="00620AD9" w:rsidRDefault="00C94E6F" w:rsidP="00C94E6F">
      <w:pPr>
        <w:pStyle w:val="PPC"/>
        <w:ind w:firstLine="1440"/>
        <w:rPr>
          <w:b/>
          <w:szCs w:val="24"/>
        </w:rPr>
      </w:pPr>
      <w:r w:rsidRPr="00D60560">
        <w:rPr>
          <w:szCs w:val="24"/>
        </w:rPr>
        <w:t xml:space="preserve">Ora, o </w:t>
      </w:r>
      <w:r>
        <w:rPr>
          <w:szCs w:val="24"/>
        </w:rPr>
        <w:t>serviço de Caixa Postal</w:t>
      </w:r>
      <w:r w:rsidRPr="00D60560">
        <w:rPr>
          <w:szCs w:val="24"/>
        </w:rPr>
        <w:t xml:space="preserve"> é calculado </w:t>
      </w:r>
      <w:r>
        <w:rPr>
          <w:szCs w:val="24"/>
        </w:rPr>
        <w:t>conforme</w:t>
      </w:r>
      <w:r w:rsidRPr="00D60560">
        <w:rPr>
          <w:szCs w:val="24"/>
        </w:rPr>
        <w:t xml:space="preserve"> </w:t>
      </w:r>
      <w:r>
        <w:rPr>
          <w:szCs w:val="24"/>
        </w:rPr>
        <w:t xml:space="preserve">regulamentação da ANATEL </w:t>
      </w:r>
      <w:r w:rsidRPr="00D60560">
        <w:rPr>
          <w:szCs w:val="24"/>
        </w:rPr>
        <w:t>que</w:t>
      </w:r>
      <w:r>
        <w:rPr>
          <w:szCs w:val="24"/>
        </w:rPr>
        <w:t xml:space="preserve"> o</w:t>
      </w:r>
      <w:r w:rsidRPr="00D60560">
        <w:rPr>
          <w:szCs w:val="24"/>
        </w:rPr>
        <w:t xml:space="preserve"> qualifica como chamada loca</w:t>
      </w:r>
      <w:r>
        <w:rPr>
          <w:szCs w:val="24"/>
        </w:rPr>
        <w:t>l</w:t>
      </w:r>
      <w:r w:rsidRPr="00D60560">
        <w:rPr>
          <w:szCs w:val="24"/>
        </w:rPr>
        <w:t>,</w:t>
      </w:r>
      <w:r>
        <w:rPr>
          <w:szCs w:val="24"/>
        </w:rPr>
        <w:t xml:space="preserve"> </w:t>
      </w:r>
      <w:r w:rsidRPr="00620AD9">
        <w:rPr>
          <w:b/>
          <w:szCs w:val="24"/>
        </w:rPr>
        <w:t xml:space="preserve">devendo sua cotação ser estimada em minutos. </w:t>
      </w:r>
    </w:p>
    <w:p w:rsidR="00C94E6F" w:rsidRPr="00D60560" w:rsidRDefault="00C94E6F" w:rsidP="00C94E6F">
      <w:pPr>
        <w:pStyle w:val="PPC"/>
        <w:ind w:firstLine="1440"/>
        <w:rPr>
          <w:szCs w:val="24"/>
        </w:rPr>
      </w:pPr>
    </w:p>
    <w:p w:rsidR="00C94E6F" w:rsidRPr="00D60560" w:rsidRDefault="00C94E6F" w:rsidP="00C94E6F">
      <w:pPr>
        <w:pStyle w:val="PPC"/>
        <w:ind w:firstLine="1440"/>
        <w:rPr>
          <w:szCs w:val="24"/>
        </w:rPr>
      </w:pPr>
      <w:r w:rsidRPr="00D60560">
        <w:rPr>
          <w:szCs w:val="24"/>
        </w:rPr>
        <w:t>Neste c</w:t>
      </w:r>
      <w:r>
        <w:rPr>
          <w:szCs w:val="24"/>
        </w:rPr>
        <w:t>ontexto, deve ser corrigida a planilha</w:t>
      </w:r>
      <w:r w:rsidRPr="00D60560">
        <w:rPr>
          <w:szCs w:val="24"/>
        </w:rPr>
        <w:t xml:space="preserve"> para que a estimativa de tráfego </w:t>
      </w:r>
      <w:r>
        <w:rPr>
          <w:szCs w:val="24"/>
        </w:rPr>
        <w:t>do serviço de Caixa Postal</w:t>
      </w:r>
      <w:r w:rsidRPr="00D60560">
        <w:rPr>
          <w:szCs w:val="24"/>
        </w:rPr>
        <w:t xml:space="preserve"> seja adequada à realidade de tarifação por </w:t>
      </w:r>
      <w:r>
        <w:rPr>
          <w:szCs w:val="24"/>
        </w:rPr>
        <w:t>minutos</w:t>
      </w:r>
      <w:r w:rsidRPr="00D60560">
        <w:rPr>
          <w:szCs w:val="24"/>
        </w:rPr>
        <w:t xml:space="preserve">, afastando-se </w:t>
      </w:r>
      <w:r>
        <w:rPr>
          <w:szCs w:val="24"/>
        </w:rPr>
        <w:t>qualquer outra qualificação</w:t>
      </w:r>
      <w:r w:rsidRPr="00D60560">
        <w:rPr>
          <w:szCs w:val="24"/>
        </w:rPr>
        <w:t xml:space="preserve"> inadequada à espécie.</w:t>
      </w:r>
    </w:p>
    <w:p w:rsidR="00110E8C" w:rsidRDefault="00110E8C" w:rsidP="00110E8C">
      <w:pPr>
        <w:pStyle w:val="PPC"/>
        <w:rPr>
          <w:szCs w:val="24"/>
        </w:rPr>
      </w:pPr>
    </w:p>
    <w:p w:rsidR="00FD384B" w:rsidRPr="00837A1C" w:rsidRDefault="00C94E6F" w:rsidP="00FD384B">
      <w:pPr>
        <w:pStyle w:val="PPC"/>
        <w:spacing w:line="240" w:lineRule="auto"/>
        <w:ind w:firstLine="0"/>
        <w:rPr>
          <w:b/>
          <w:u w:val="single"/>
        </w:rPr>
      </w:pPr>
      <w:r>
        <w:rPr>
          <w:b/>
          <w:u w:val="single"/>
        </w:rPr>
        <w:t>04</w:t>
      </w:r>
      <w:r w:rsidR="00FD384B">
        <w:rPr>
          <w:b/>
          <w:u w:val="single"/>
        </w:rPr>
        <w:t xml:space="preserve">. </w:t>
      </w:r>
      <w:r w:rsidR="00FD384B" w:rsidRPr="00837A1C">
        <w:rPr>
          <w:b/>
          <w:u w:val="single"/>
        </w:rPr>
        <w:t xml:space="preserve">EXIGÊNCIA DE AMOSTRA </w:t>
      </w:r>
      <w:r w:rsidR="00FD384B" w:rsidRPr="00837A1C">
        <w:rPr>
          <w:rFonts w:ascii="Arial (W1)" w:hAnsi="Arial (W1)"/>
          <w:b/>
          <w:u w:val="single"/>
        </w:rPr>
        <w:t>PRELIMINARMENTE À ADJUDICAÇÃO DO OBJETO.</w:t>
      </w:r>
      <w:r w:rsidR="00FD384B" w:rsidRPr="00837A1C">
        <w:rPr>
          <w:b/>
          <w:u w:val="single"/>
        </w:rPr>
        <w:t xml:space="preserve"> DESNECESSSIDADE.</w:t>
      </w:r>
    </w:p>
    <w:p w:rsidR="00FD384B" w:rsidRPr="00837A1C" w:rsidRDefault="00FD384B" w:rsidP="00FD384B">
      <w:pPr>
        <w:pStyle w:val="PPC"/>
        <w:ind w:firstLine="0"/>
        <w:rPr>
          <w:b/>
          <w:u w:val="single"/>
        </w:rPr>
      </w:pPr>
    </w:p>
    <w:p w:rsidR="00FD384B" w:rsidRPr="00837A1C" w:rsidRDefault="00FD384B" w:rsidP="00FD384B">
      <w:pPr>
        <w:pStyle w:val="PPC"/>
      </w:pPr>
      <w:r w:rsidRPr="00837A1C">
        <w:t xml:space="preserve">O </w:t>
      </w:r>
      <w:r>
        <w:t xml:space="preserve">item 5.2, alínea ‘a’ </w:t>
      </w:r>
      <w:r w:rsidRPr="00837A1C">
        <w:t xml:space="preserve">do </w:t>
      </w:r>
      <w:r>
        <w:t xml:space="preserve">Anexo I </w:t>
      </w:r>
      <w:r w:rsidRPr="00837A1C">
        <w:t xml:space="preserve">indica, como pressuposto para aceitação </w:t>
      </w:r>
      <w:r w:rsidRPr="00F45631">
        <w:t>da proposta comercial e preliminarmente à adjudicação do objeto, a apresentação de amostra dos equipamentos</w:t>
      </w:r>
      <w:r w:rsidRPr="00837A1C">
        <w:t>.</w:t>
      </w:r>
    </w:p>
    <w:p w:rsidR="00FD384B" w:rsidRPr="00837A1C" w:rsidRDefault="00FD384B" w:rsidP="00FD384B">
      <w:pPr>
        <w:pStyle w:val="PPC"/>
      </w:pPr>
    </w:p>
    <w:p w:rsidR="00FD384B" w:rsidRPr="00837A1C" w:rsidRDefault="00FD384B" w:rsidP="00FD384B">
      <w:pPr>
        <w:pStyle w:val="PPC"/>
      </w:pPr>
      <w:r w:rsidRPr="00837A1C">
        <w:t>Todavia, tal amostra é absolutamente desnecessária, à medida que, no ato de inclusão da proposta eletrônica, a licitante apresenta uma garantia de que há atendimento a todas as exigências do edital, inclusive com relação ao modelo do aparelho solicitado.</w:t>
      </w:r>
    </w:p>
    <w:p w:rsidR="00FD384B" w:rsidRPr="00837A1C" w:rsidRDefault="00FD384B" w:rsidP="00FD384B">
      <w:pPr>
        <w:pStyle w:val="PPC"/>
      </w:pPr>
    </w:p>
    <w:p w:rsidR="00FD384B" w:rsidRPr="00837A1C" w:rsidRDefault="00FD384B" w:rsidP="00FD384B">
      <w:pPr>
        <w:pStyle w:val="PPC"/>
      </w:pPr>
      <w:r w:rsidRPr="00837A1C">
        <w:t>Desta forma, a mera apresentação da proposta já induz ao licitante a obrigação de cumprir os critérios técnicos mínimos previstos para os aparelhos utilizados para a prestação do serviço, situação esta a ser cumprida durante a execução contratual.</w:t>
      </w:r>
    </w:p>
    <w:p w:rsidR="00FD384B" w:rsidRPr="00837A1C" w:rsidRDefault="00FD384B" w:rsidP="00FD384B">
      <w:pPr>
        <w:pStyle w:val="PPC"/>
      </w:pPr>
    </w:p>
    <w:p w:rsidR="00FD384B" w:rsidRPr="00837A1C" w:rsidRDefault="00FD384B" w:rsidP="00FD384B">
      <w:pPr>
        <w:pStyle w:val="PPC"/>
      </w:pPr>
      <w:r w:rsidRPr="00837A1C">
        <w:t>Assim, independentemente da marca do</w:t>
      </w:r>
      <w:r>
        <w:t>s</w:t>
      </w:r>
      <w:r w:rsidRPr="00837A1C">
        <w:t xml:space="preserve"> aparelhos cotada, a especificação deve atender aos requisitos mínimos do edital, cujo cumprimento deve ser realizado pela empresa licitante, não havendo margem para que a Administração exerça juízo de valor, por meio de amostra, sobre as marcas oferecidas na proposta comercial.</w:t>
      </w:r>
    </w:p>
    <w:p w:rsidR="00FD384B" w:rsidRPr="00837A1C" w:rsidRDefault="00FD384B" w:rsidP="00FD384B">
      <w:pPr>
        <w:pStyle w:val="PPC"/>
      </w:pPr>
    </w:p>
    <w:p w:rsidR="00FD384B" w:rsidRPr="00837A1C" w:rsidRDefault="00FD384B" w:rsidP="00FD384B">
      <w:pPr>
        <w:pStyle w:val="PPC"/>
      </w:pPr>
      <w:r w:rsidRPr="00837A1C">
        <w:lastRenderedPageBreak/>
        <w:t>Exatamente por integrar a proposta, basta à Administração oferecer as especificações mínimas exigíveis para, a partir desta descrição, analisar as ofertas realizadas pela licitante, não sendo legítimo outorgar eventual escolha de marca pela Administração, de forma unilateral, sob pena de violação direta ao ar</w:t>
      </w:r>
      <w:r w:rsidR="00F45631">
        <w:t>tigo 7</w:t>
      </w:r>
      <w:r w:rsidR="00D71EE9">
        <w:t>°, §5</w:t>
      </w:r>
      <w:r w:rsidR="00F45631">
        <w:t>° da lei 8666/1993.</w:t>
      </w:r>
    </w:p>
    <w:p w:rsidR="00FD384B" w:rsidRPr="00837A1C" w:rsidRDefault="00FD384B" w:rsidP="00FD384B">
      <w:pPr>
        <w:pStyle w:val="PPC"/>
      </w:pPr>
    </w:p>
    <w:p w:rsidR="00FD384B" w:rsidRPr="00837A1C" w:rsidRDefault="00FD384B" w:rsidP="00FD384B">
      <w:pPr>
        <w:pStyle w:val="PPC"/>
        <w:rPr>
          <w:b/>
        </w:rPr>
      </w:pPr>
      <w:r w:rsidRPr="00837A1C">
        <w:t xml:space="preserve">Neste contexto, </w:t>
      </w:r>
      <w:r w:rsidRPr="00837A1C">
        <w:rPr>
          <w:b/>
        </w:rPr>
        <w:t>a amostra não pode servir com</w:t>
      </w:r>
      <w:r>
        <w:rPr>
          <w:b/>
        </w:rPr>
        <w:t>o</w:t>
      </w:r>
      <w:r w:rsidRPr="00837A1C">
        <w:rPr>
          <w:b/>
        </w:rPr>
        <w:t xml:space="preserve"> meio para a Administração refutar eventual marca apresentada pela licitante, dado que é desta última a obrigação de preencher a necessidade administrativa objetivamente definida no edital.</w:t>
      </w:r>
    </w:p>
    <w:p w:rsidR="00FD384B" w:rsidRPr="00837A1C" w:rsidRDefault="00FD384B" w:rsidP="00FD384B">
      <w:pPr>
        <w:pStyle w:val="PPC"/>
        <w:spacing w:line="240" w:lineRule="auto"/>
      </w:pPr>
    </w:p>
    <w:p w:rsidR="00FD384B" w:rsidRPr="00837A1C" w:rsidRDefault="00FD384B" w:rsidP="00FD384B">
      <w:pPr>
        <w:pStyle w:val="PPC"/>
      </w:pPr>
      <w:r w:rsidRPr="00837A1C">
        <w:t>Desta forma, deve ser afastada a fórmula do edital no que se refere à apresentação de amostra previamente à adjudicação do objeto, adotando apenas a previsão de especificações mínimas dos aparelhos a serem cotados, cujo cumprimento é de obrigação da licitante apenas na fase de execução do contrato.</w:t>
      </w:r>
    </w:p>
    <w:p w:rsidR="00B220F0" w:rsidRDefault="00B220F0" w:rsidP="00B220F0">
      <w:pPr>
        <w:pStyle w:val="PPC"/>
        <w:ind w:firstLine="0"/>
        <w:rPr>
          <w:b/>
          <w:u w:val="single"/>
        </w:rPr>
      </w:pPr>
    </w:p>
    <w:p w:rsidR="00B220F0" w:rsidRPr="00E74E6C" w:rsidRDefault="00C94E6F" w:rsidP="00B220F0">
      <w:pPr>
        <w:pStyle w:val="PPC"/>
        <w:ind w:firstLine="0"/>
        <w:rPr>
          <w:b/>
          <w:u w:val="single"/>
        </w:rPr>
      </w:pPr>
      <w:r>
        <w:rPr>
          <w:b/>
          <w:u w:val="single"/>
        </w:rPr>
        <w:t>05</w:t>
      </w:r>
      <w:r w:rsidR="00B220F0">
        <w:rPr>
          <w:b/>
          <w:u w:val="single"/>
        </w:rPr>
        <w:t xml:space="preserve">. </w:t>
      </w:r>
      <w:r w:rsidR="00B220F0" w:rsidRPr="00E74E6C">
        <w:rPr>
          <w:b/>
          <w:u w:val="single"/>
        </w:rPr>
        <w:t xml:space="preserve">AUSÊNCIA DE RESPONSABILIDADE DA CONTRATADA PELA ASSISTÊNCIA TÉCNICA AOS </w:t>
      </w:r>
      <w:r w:rsidR="00B220F0">
        <w:rPr>
          <w:b/>
          <w:u w:val="single"/>
        </w:rPr>
        <w:t>EQUIPAMENTOS</w:t>
      </w:r>
      <w:r w:rsidR="00B220F0" w:rsidRPr="00E74E6C">
        <w:rPr>
          <w:b/>
          <w:u w:val="single"/>
        </w:rPr>
        <w:t>.</w:t>
      </w:r>
    </w:p>
    <w:p w:rsidR="00B220F0" w:rsidRPr="00E74E6C" w:rsidRDefault="00B220F0" w:rsidP="00B220F0">
      <w:pPr>
        <w:pStyle w:val="PPC"/>
        <w:ind w:firstLine="120"/>
      </w:pPr>
    </w:p>
    <w:p w:rsidR="00B220F0" w:rsidRPr="00105635" w:rsidRDefault="00B220F0" w:rsidP="00B220F0">
      <w:pPr>
        <w:pStyle w:val="PPC"/>
        <w:rPr>
          <w:i/>
          <w:szCs w:val="24"/>
        </w:rPr>
      </w:pPr>
      <w:r w:rsidRPr="00105635">
        <w:rPr>
          <w:szCs w:val="24"/>
        </w:rPr>
        <w:t>O item</w:t>
      </w:r>
      <w:r w:rsidR="00105635" w:rsidRPr="00105635">
        <w:rPr>
          <w:szCs w:val="24"/>
        </w:rPr>
        <w:t xml:space="preserve"> 5.2, alínea ‘c’ do Anexo I determina que </w:t>
      </w:r>
      <w:r w:rsidR="00105635" w:rsidRPr="00105635">
        <w:rPr>
          <w:i/>
          <w:szCs w:val="24"/>
        </w:rPr>
        <w:t>“nos casos em que for constatado defeito de fabricação, a Contratada deverá providenciar a troca do aparelho defeituoso por outro aparelho do mesmo modelo e marca com todos os recursos dos demais”.</w:t>
      </w:r>
    </w:p>
    <w:p w:rsidR="00B220F0" w:rsidRDefault="00B220F0" w:rsidP="00B220F0">
      <w:pPr>
        <w:pStyle w:val="PPC"/>
        <w:rPr>
          <w:szCs w:val="24"/>
        </w:rPr>
      </w:pPr>
    </w:p>
    <w:p w:rsidR="006D2D3A" w:rsidRDefault="006D2D3A" w:rsidP="00B220F0">
      <w:pPr>
        <w:pStyle w:val="PPC"/>
        <w:rPr>
          <w:szCs w:val="24"/>
        </w:rPr>
      </w:pPr>
      <w:r>
        <w:rPr>
          <w:szCs w:val="24"/>
        </w:rPr>
        <w:t xml:space="preserve">Ressalta-se, também, o disposto no item 12.1, alínea ‘s’ do Anexo I </w:t>
      </w:r>
      <w:r w:rsidR="00E74ABD">
        <w:rPr>
          <w:szCs w:val="24"/>
        </w:rPr>
        <w:t xml:space="preserve">e a alínea ‘s’ da Cláusula Sexta da Minuta do Contrato </w:t>
      </w:r>
      <w:r>
        <w:rPr>
          <w:szCs w:val="24"/>
        </w:rPr>
        <w:t>que estabelece</w:t>
      </w:r>
      <w:r w:rsidR="00E74ABD">
        <w:rPr>
          <w:szCs w:val="24"/>
        </w:rPr>
        <w:t>m</w:t>
      </w:r>
      <w:r>
        <w:rPr>
          <w:szCs w:val="24"/>
        </w:rPr>
        <w:t xml:space="preserve"> que a Contratada deverá </w:t>
      </w:r>
      <w:r w:rsidRPr="006D2D3A">
        <w:rPr>
          <w:szCs w:val="24"/>
        </w:rPr>
        <w:t>reparar ou substituir qualquer aparelho que apresentar defeito</w:t>
      </w:r>
      <w:r w:rsidR="001850ED">
        <w:rPr>
          <w:szCs w:val="24"/>
        </w:rPr>
        <w:t>, bem como, o preconizado na alínea ‘z’</w:t>
      </w:r>
      <w:r w:rsidR="00202070">
        <w:rPr>
          <w:szCs w:val="24"/>
        </w:rPr>
        <w:t xml:space="preserve"> do item 12.1 do Anexo I e alínea ‘z’ do Anexo II</w:t>
      </w:r>
      <w:r w:rsidR="001850ED">
        <w:rPr>
          <w:szCs w:val="24"/>
        </w:rPr>
        <w:t>, que assim dispõe</w:t>
      </w:r>
      <w:r w:rsidR="00202070">
        <w:rPr>
          <w:szCs w:val="24"/>
        </w:rPr>
        <w:t>m</w:t>
      </w:r>
      <w:r w:rsidR="001850ED">
        <w:rPr>
          <w:szCs w:val="24"/>
        </w:rPr>
        <w:t xml:space="preserve">: </w:t>
      </w:r>
      <w:r w:rsidR="00943B00" w:rsidRPr="00943B00">
        <w:rPr>
          <w:szCs w:val="24"/>
        </w:rPr>
        <w:t>efetuar a substituição de quaisquer dos equipamentos oferecidos, sem ônus para o CRN-2, desde que não seja constatado o uso indevido</w:t>
      </w:r>
      <w:r w:rsidR="00943B00">
        <w:rPr>
          <w:szCs w:val="24"/>
        </w:rPr>
        <w:t>.</w:t>
      </w:r>
    </w:p>
    <w:p w:rsidR="006D2D3A" w:rsidRDefault="006D2D3A" w:rsidP="00B220F0">
      <w:pPr>
        <w:pStyle w:val="PPC"/>
        <w:rPr>
          <w:szCs w:val="24"/>
        </w:rPr>
      </w:pPr>
    </w:p>
    <w:p w:rsidR="00B220F0" w:rsidRPr="00E74E6C" w:rsidRDefault="00B220F0" w:rsidP="00B220F0">
      <w:pPr>
        <w:pStyle w:val="PPC"/>
        <w:rPr>
          <w:b/>
        </w:rPr>
      </w:pPr>
      <w:r w:rsidRPr="00E74E6C">
        <w:t xml:space="preserve">Todavia, tal situação atua em descompasso com o regime de prestação do serviço, considerando que o </w:t>
      </w:r>
      <w:r w:rsidRPr="00E74E6C">
        <w:rPr>
          <w:b/>
        </w:rPr>
        <w:t>aparelho</w:t>
      </w:r>
      <w:r w:rsidR="00105635">
        <w:rPr>
          <w:b/>
        </w:rPr>
        <w:t xml:space="preserve"> é </w:t>
      </w:r>
      <w:r w:rsidRPr="00E74E6C">
        <w:rPr>
          <w:b/>
        </w:rPr>
        <w:t>apenas e tão-somente meio para que possa se efetivar o serviço de telefonia</w:t>
      </w:r>
      <w:r>
        <w:rPr>
          <w:b/>
        </w:rPr>
        <w:t xml:space="preserve"> e internet</w:t>
      </w:r>
      <w:r w:rsidRPr="00E74E6C">
        <w:rPr>
          <w:b/>
        </w:rPr>
        <w:t xml:space="preserve">, </w:t>
      </w:r>
      <w:r w:rsidR="00105635">
        <w:rPr>
          <w:b/>
        </w:rPr>
        <w:t>equipamento</w:t>
      </w:r>
      <w:r w:rsidRPr="00E74E6C">
        <w:rPr>
          <w:b/>
        </w:rPr>
        <w:t xml:space="preserve"> este cujo funcionamento regular é de responsabilidade direta do fabricante.</w:t>
      </w:r>
    </w:p>
    <w:p w:rsidR="00B220F0" w:rsidRPr="00E74E6C" w:rsidRDefault="00B220F0" w:rsidP="00B220F0">
      <w:pPr>
        <w:pStyle w:val="PPC"/>
      </w:pPr>
    </w:p>
    <w:p w:rsidR="00B220F0" w:rsidRPr="00E74E6C" w:rsidRDefault="00B220F0" w:rsidP="00B220F0">
      <w:pPr>
        <w:pStyle w:val="PPC"/>
      </w:pPr>
      <w:r w:rsidRPr="00E74E6C">
        <w:lastRenderedPageBreak/>
        <w:t xml:space="preserve">Assim, nos termos do artigo 12 do Código de Defesa do Consumidor (Lei Federal n.º 8078/1990), quem responde pelos problemas inerentes </w:t>
      </w:r>
      <w:r w:rsidRPr="00105635">
        <w:t>ao aparelho celular é o fabricante</w:t>
      </w:r>
      <w:r w:rsidRPr="00E74E6C">
        <w:t xml:space="preserve">, o produtor, o construtor, nacional ou estrangeiro, e o importador. Neste sentido, é incorreta a previsão </w:t>
      </w:r>
      <w:proofErr w:type="spellStart"/>
      <w:r w:rsidRPr="00E74E6C">
        <w:t>editalícia</w:t>
      </w:r>
      <w:proofErr w:type="spellEnd"/>
      <w:r w:rsidRPr="00E74E6C">
        <w:t xml:space="preserve"> que, de imediato, tenta compelir a operadora a resolver problema não diretamente relacionado ao serviço de telefonia</w:t>
      </w:r>
      <w:r>
        <w:t xml:space="preserve"> e internet</w:t>
      </w:r>
      <w:r w:rsidRPr="00E74E6C">
        <w:t xml:space="preserve"> propriamente dit</w:t>
      </w:r>
      <w:r>
        <w:t>os</w:t>
      </w:r>
      <w:r w:rsidRPr="00E74E6C">
        <w:t>.</w:t>
      </w:r>
    </w:p>
    <w:p w:rsidR="00B220F0" w:rsidRPr="00E74E6C" w:rsidRDefault="00B220F0" w:rsidP="00B220F0">
      <w:pPr>
        <w:pStyle w:val="PPC"/>
      </w:pPr>
    </w:p>
    <w:p w:rsidR="00B220F0" w:rsidRDefault="00B220F0" w:rsidP="00B220F0">
      <w:pPr>
        <w:pStyle w:val="PPC"/>
      </w:pPr>
      <w:r w:rsidRPr="00E74E6C">
        <w:t xml:space="preserve">De </w:t>
      </w:r>
      <w:r w:rsidRPr="00105635">
        <w:t xml:space="preserve">fato, o aparelho </w:t>
      </w:r>
      <w:r w:rsidR="00105635" w:rsidRPr="00105635">
        <w:t xml:space="preserve">é </w:t>
      </w:r>
      <w:r w:rsidRPr="00105635">
        <w:t xml:space="preserve">apenas meio para o exercício do serviço de telefonia celular e internet, sendo a fabricação realizada </w:t>
      </w:r>
      <w:r w:rsidRPr="00E74E6C">
        <w:t>por outras empresas diferentes da prestadora do serviço em referência.</w:t>
      </w:r>
    </w:p>
    <w:p w:rsidR="00B220F0" w:rsidRPr="00E74E6C" w:rsidRDefault="00B220F0" w:rsidP="00B220F0">
      <w:pPr>
        <w:pStyle w:val="PPC"/>
      </w:pPr>
    </w:p>
    <w:p w:rsidR="00B220F0" w:rsidRPr="00E74E6C" w:rsidRDefault="00B220F0" w:rsidP="00B220F0">
      <w:pPr>
        <w:pStyle w:val="PPC"/>
      </w:pPr>
      <w:r w:rsidRPr="00E74E6C">
        <w:t xml:space="preserve">Assim, em caso de defeito, a ritualística correta é o envio do </w:t>
      </w:r>
      <w:r>
        <w:t>objeto</w:t>
      </w:r>
      <w:r w:rsidRPr="00E74E6C">
        <w:t xml:space="preserve"> </w:t>
      </w:r>
      <w:r w:rsidRPr="00BC2E26">
        <w:rPr>
          <w:b/>
          <w:u w:val="single"/>
        </w:rPr>
        <w:t>exclusivamente pelo contratante</w:t>
      </w:r>
      <w:r>
        <w:t xml:space="preserve"> </w:t>
      </w:r>
      <w:r w:rsidRPr="00E74E6C">
        <w:t>para a assistência técnica do fabricante detectar eventual problema, bem como realizar um laudo técnico.</w:t>
      </w:r>
    </w:p>
    <w:p w:rsidR="00B220F0" w:rsidRPr="00E74E6C" w:rsidRDefault="00B220F0" w:rsidP="00B220F0">
      <w:pPr>
        <w:pStyle w:val="PPC"/>
      </w:pPr>
    </w:p>
    <w:p w:rsidR="00B220F0" w:rsidRDefault="00B220F0" w:rsidP="00B220F0">
      <w:pPr>
        <w:pStyle w:val="PPC"/>
      </w:pPr>
      <w:r w:rsidRPr="00E74E6C">
        <w:t xml:space="preserve">A partir desta informação, verificar-se-á qual a origem do problema, sendo, somente após tal análise prévia, determinado se seria ou não responsabilidade da operadora a troca do </w:t>
      </w:r>
      <w:r>
        <w:t>objeto</w:t>
      </w:r>
      <w:r w:rsidRPr="00E74E6C">
        <w:t>.</w:t>
      </w:r>
    </w:p>
    <w:p w:rsidR="00B220F0" w:rsidRDefault="00B220F0" w:rsidP="00B220F0">
      <w:pPr>
        <w:pStyle w:val="PPC"/>
      </w:pPr>
    </w:p>
    <w:p w:rsidR="00B220F0" w:rsidRPr="0041540D" w:rsidRDefault="00B220F0" w:rsidP="00B220F0">
      <w:pPr>
        <w:pStyle w:val="PPC"/>
        <w:rPr>
          <w:b/>
          <w:u w:val="single"/>
        </w:rPr>
      </w:pPr>
      <w:r w:rsidRPr="0041540D">
        <w:rPr>
          <w:b/>
          <w:u w:val="single"/>
        </w:rPr>
        <w:t>O prazo de troca pela operadora é comumente realizado em até 7 (sete) dias do recebimento do equipamento. Após esse prazo a garantia será fornecida pelo fabricante, mediante laudo da assistência técnica.</w:t>
      </w:r>
    </w:p>
    <w:p w:rsidR="00B220F0" w:rsidRDefault="00B220F0" w:rsidP="00B220F0">
      <w:pPr>
        <w:pStyle w:val="PPC"/>
      </w:pPr>
    </w:p>
    <w:p w:rsidR="00B220F0" w:rsidRDefault="00B220F0" w:rsidP="00B220F0">
      <w:pPr>
        <w:pStyle w:val="PPC"/>
      </w:pPr>
      <w:r>
        <w:t>Destarte, é fundamental mencionar que a garantia do equipamento, concedida pela Assistência Técnica do fabricante não abrange os defeitos ocasionados pela utilização incorreta dos objetos tampouco pelas quebras nos mesmos.</w:t>
      </w:r>
    </w:p>
    <w:p w:rsidR="00B220F0" w:rsidRPr="00E74E6C" w:rsidRDefault="00B220F0" w:rsidP="00B220F0">
      <w:pPr>
        <w:pStyle w:val="PPC"/>
      </w:pPr>
    </w:p>
    <w:p w:rsidR="00B220F0" w:rsidRPr="00E74E6C" w:rsidRDefault="00B220F0" w:rsidP="00B220F0">
      <w:pPr>
        <w:pStyle w:val="PPC"/>
      </w:pPr>
      <w:r w:rsidRPr="00E74E6C">
        <w:t xml:space="preserve">Neste contexto, </w:t>
      </w:r>
      <w:r>
        <w:t xml:space="preserve">deve ser previsto em edital a responsabilidade da contratada pela substituição dos equipamentos com defeito somente nos casos em que o defeito for constatado em até 07 (sete) dias da </w:t>
      </w:r>
      <w:r w:rsidRPr="0041540D">
        <w:rPr>
          <w:u w:val="single"/>
        </w:rPr>
        <w:t>entrega</w:t>
      </w:r>
      <w:r>
        <w:t xml:space="preserve"> dos equipamentos pela contratada.</w:t>
      </w:r>
    </w:p>
    <w:p w:rsidR="00B220F0" w:rsidRPr="00B50F8E" w:rsidRDefault="00B220F0" w:rsidP="00B220F0"/>
    <w:p w:rsidR="00880461" w:rsidRPr="006F5F4B" w:rsidRDefault="00C94E6F" w:rsidP="00880461">
      <w:pPr>
        <w:pStyle w:val="PPC"/>
        <w:ind w:firstLine="0"/>
        <w:rPr>
          <w:b/>
          <w:szCs w:val="24"/>
          <w:u w:val="single"/>
        </w:rPr>
      </w:pPr>
      <w:r>
        <w:rPr>
          <w:b/>
          <w:szCs w:val="24"/>
          <w:u w:val="single"/>
        </w:rPr>
        <w:t>06</w:t>
      </w:r>
      <w:r w:rsidR="00880461">
        <w:rPr>
          <w:b/>
          <w:szCs w:val="24"/>
          <w:u w:val="single"/>
        </w:rPr>
        <w:t xml:space="preserve">. </w:t>
      </w:r>
      <w:r w:rsidR="00880461" w:rsidRPr="006F5F4B">
        <w:rPr>
          <w:b/>
          <w:szCs w:val="24"/>
          <w:u w:val="single"/>
        </w:rPr>
        <w:t xml:space="preserve">ESPECIFICAÇÂO DOS APARELHOS SOLICITADOS. IMPOSSIBILIDADE DE ATENDIMENTO DAS ESPECIFICAÇÕES DOS APARELHOS EXIGIDAS POR PARTE DE TODAS AS OPERADORAS. </w:t>
      </w:r>
    </w:p>
    <w:p w:rsidR="00880461" w:rsidRPr="006F5F4B" w:rsidRDefault="00880461" w:rsidP="00880461">
      <w:pPr>
        <w:keepNext/>
        <w:keepLines/>
        <w:tabs>
          <w:tab w:val="left" w:pos="0"/>
          <w:tab w:val="left" w:pos="170"/>
          <w:tab w:val="left" w:pos="1005"/>
          <w:tab w:val="left" w:pos="2016"/>
          <w:tab w:val="left" w:pos="3770"/>
          <w:tab w:val="left" w:pos="4490"/>
          <w:tab w:val="left" w:pos="5210"/>
          <w:tab w:val="left" w:pos="5930"/>
          <w:tab w:val="left" w:pos="6650"/>
          <w:tab w:val="left" w:pos="7370"/>
          <w:tab w:val="left" w:pos="8090"/>
          <w:tab w:val="left" w:pos="8810"/>
        </w:tabs>
        <w:autoSpaceDE w:val="0"/>
        <w:autoSpaceDN w:val="0"/>
        <w:adjustRightInd w:val="0"/>
      </w:pPr>
    </w:p>
    <w:p w:rsidR="00880461" w:rsidRPr="006F5F4B" w:rsidRDefault="00880461" w:rsidP="00880461">
      <w:pPr>
        <w:contextualSpacing/>
      </w:pPr>
      <w:r w:rsidRPr="006F5F4B">
        <w:t xml:space="preserve">O Edital estipula as especificações mínimas para os aparelhos a serem </w:t>
      </w:r>
      <w:r>
        <w:t>cedidos pela contratada</w:t>
      </w:r>
      <w:r w:rsidRPr="006F5F4B">
        <w:t xml:space="preserve">, dentre as quais </w:t>
      </w:r>
      <w:r>
        <w:t xml:space="preserve">destaca </w:t>
      </w:r>
      <w:r w:rsidR="00DB4F1E">
        <w:t xml:space="preserve">o item 6.1, alínea ‘g’ </w:t>
      </w:r>
      <w:r w:rsidRPr="006F5F4B">
        <w:lastRenderedPageBreak/>
        <w:t>do ANEXO I – Termo de Referênci</w:t>
      </w:r>
      <w:r>
        <w:t>a que</w:t>
      </w:r>
      <w:r w:rsidR="00DB4F1E">
        <w:t xml:space="preserve"> determina que</w:t>
      </w:r>
      <w:r>
        <w:t xml:space="preserve"> os aparelhos solicitados </w:t>
      </w:r>
      <w:r w:rsidRPr="006F5F4B">
        <w:t>possuam</w:t>
      </w:r>
      <w:r w:rsidR="00DB4F1E" w:rsidRPr="00DB4F1E">
        <w:t xml:space="preserve"> </w:t>
      </w:r>
      <w:r w:rsidR="00DB4F1E">
        <w:t>r</w:t>
      </w:r>
      <w:r w:rsidR="00DB4F1E" w:rsidRPr="00DB4F1E">
        <w:t>esolução mínima: 2592x1944 pixel</w:t>
      </w:r>
      <w:r w:rsidRPr="004312B6">
        <w:rPr>
          <w:color w:val="FF0000"/>
        </w:rPr>
        <w:t>.</w:t>
      </w:r>
    </w:p>
    <w:p w:rsidR="00880461" w:rsidRPr="006F5F4B" w:rsidRDefault="00880461" w:rsidP="00880461">
      <w:pPr>
        <w:keepNext/>
        <w:keepLines/>
        <w:tabs>
          <w:tab w:val="left" w:pos="0"/>
          <w:tab w:val="left" w:pos="170"/>
          <w:tab w:val="left" w:pos="2016"/>
          <w:tab w:val="left" w:pos="3770"/>
          <w:tab w:val="left" w:pos="4490"/>
          <w:tab w:val="left" w:pos="5210"/>
          <w:tab w:val="left" w:pos="5930"/>
          <w:tab w:val="left" w:pos="6650"/>
          <w:tab w:val="left" w:pos="7370"/>
          <w:tab w:val="left" w:pos="8090"/>
          <w:tab w:val="left" w:pos="8460"/>
        </w:tabs>
        <w:autoSpaceDE w:val="0"/>
        <w:autoSpaceDN w:val="0"/>
        <w:adjustRightInd w:val="0"/>
      </w:pPr>
    </w:p>
    <w:p w:rsidR="00880461" w:rsidRPr="006F5F4B" w:rsidRDefault="00880461" w:rsidP="00880461">
      <w:pPr>
        <w:tabs>
          <w:tab w:val="left" w:pos="0"/>
          <w:tab w:val="left" w:pos="8460"/>
        </w:tabs>
        <w:autoSpaceDE w:val="0"/>
        <w:autoSpaceDN w:val="0"/>
        <w:adjustRightInd w:val="0"/>
      </w:pPr>
      <w:r w:rsidRPr="006F5F4B">
        <w:t>Todavia, as características dos aparelhos não devem ser limitantes. Isto porque o fornecimento de aparelhos é obrigação acessória, pois a principal é o fornecimento do SMP (Serviço Móvel Pessoal).</w:t>
      </w:r>
    </w:p>
    <w:p w:rsidR="00880461" w:rsidRPr="006F5F4B" w:rsidRDefault="00880461" w:rsidP="00880461">
      <w:pPr>
        <w:tabs>
          <w:tab w:val="left" w:pos="0"/>
          <w:tab w:val="left" w:pos="8460"/>
        </w:tabs>
        <w:autoSpaceDE w:val="0"/>
        <w:autoSpaceDN w:val="0"/>
        <w:adjustRightInd w:val="0"/>
        <w:ind w:right="380" w:firstLine="3119"/>
      </w:pPr>
    </w:p>
    <w:p w:rsidR="00880461" w:rsidRPr="00DB4F1E" w:rsidRDefault="00880461" w:rsidP="00DB4F1E">
      <w:pPr>
        <w:tabs>
          <w:tab w:val="left" w:pos="0"/>
          <w:tab w:val="left" w:pos="8460"/>
        </w:tabs>
        <w:autoSpaceDE w:val="0"/>
        <w:autoSpaceDN w:val="0"/>
        <w:adjustRightInd w:val="0"/>
      </w:pPr>
      <w:r w:rsidRPr="006F5F4B">
        <w:t xml:space="preserve">Além disso, lembra esta empresa o que dispõe o art. 3°, parágrafo 1°, I da Lei 8.666/93, </w:t>
      </w:r>
      <w:r w:rsidRPr="002F1E9B">
        <w:t>não podendo haver restriçã</w:t>
      </w:r>
      <w:r w:rsidR="00DB4F1E">
        <w:t>o da competitividade no certame.</w:t>
      </w:r>
    </w:p>
    <w:p w:rsidR="00880461" w:rsidRPr="006F5F4B" w:rsidRDefault="00880461" w:rsidP="00880461">
      <w:pPr>
        <w:tabs>
          <w:tab w:val="left" w:pos="0"/>
          <w:tab w:val="left" w:pos="8460"/>
        </w:tabs>
        <w:autoSpaceDE w:val="0"/>
        <w:autoSpaceDN w:val="0"/>
        <w:adjustRightInd w:val="0"/>
      </w:pPr>
    </w:p>
    <w:p w:rsidR="00880461" w:rsidRDefault="00880461" w:rsidP="00880461">
      <w:pPr>
        <w:tabs>
          <w:tab w:val="left" w:pos="0"/>
          <w:tab w:val="left" w:pos="8460"/>
        </w:tabs>
        <w:autoSpaceDE w:val="0"/>
        <w:autoSpaceDN w:val="0"/>
        <w:adjustRightInd w:val="0"/>
      </w:pPr>
      <w:r w:rsidRPr="006F5F4B">
        <w:t>Assim, requer que as especificações possam ser flexibilizadas, de forma que os aparelhos tenham uma margem que possibilite às empresas encontrarem opções válidas e que atendam às reais necessidades da Administração, além de garant</w:t>
      </w:r>
      <w:r>
        <w:t xml:space="preserve">ir a competitividade do certame, </w:t>
      </w:r>
      <w:r w:rsidR="00953B24">
        <w:t>bem como, a economicidade do processo.</w:t>
      </w:r>
    </w:p>
    <w:p w:rsidR="00953B24" w:rsidRPr="00953B24" w:rsidRDefault="00953B24" w:rsidP="00880461">
      <w:pPr>
        <w:tabs>
          <w:tab w:val="left" w:pos="0"/>
          <w:tab w:val="left" w:pos="8460"/>
        </w:tabs>
        <w:autoSpaceDE w:val="0"/>
        <w:autoSpaceDN w:val="0"/>
        <w:adjustRightInd w:val="0"/>
        <w:rPr>
          <w:color w:val="auto"/>
        </w:rPr>
      </w:pPr>
    </w:p>
    <w:p w:rsidR="00645FB6" w:rsidRPr="006F5F4B" w:rsidRDefault="00645FB6" w:rsidP="00645FB6">
      <w:pPr>
        <w:tabs>
          <w:tab w:val="left" w:pos="0"/>
          <w:tab w:val="left" w:pos="8460"/>
        </w:tabs>
        <w:autoSpaceDE w:val="0"/>
        <w:autoSpaceDN w:val="0"/>
        <w:adjustRightInd w:val="0"/>
      </w:pPr>
      <w:r w:rsidRPr="00953B24">
        <w:rPr>
          <w:color w:val="auto"/>
        </w:rPr>
        <w:t xml:space="preserve">Forçoso </w:t>
      </w:r>
      <w:r>
        <w:t>é observar</w:t>
      </w:r>
      <w:r w:rsidR="00B96F20">
        <w:t>,</w:t>
      </w:r>
      <w:r>
        <w:t xml:space="preserve"> também</w:t>
      </w:r>
      <w:r w:rsidR="00B96F20">
        <w:t>,</w:t>
      </w:r>
      <w:r>
        <w:t xml:space="preserve"> as exigências das alíneas ‘l’ e ‘m’ do Anexo I:</w:t>
      </w:r>
    </w:p>
    <w:p w:rsidR="00645FB6" w:rsidRDefault="00645FB6" w:rsidP="00645FB6">
      <w:pPr>
        <w:pStyle w:val="Citao"/>
        <w:rPr>
          <w:rFonts w:ascii="Calibri" w:eastAsiaTheme="minorHAnsi" w:hAnsi="Calibri" w:cs="Times New Roman"/>
          <w:sz w:val="22"/>
        </w:rPr>
      </w:pPr>
      <w:r>
        <w:t>l) Espessura: 0,75cm;</w:t>
      </w:r>
    </w:p>
    <w:p w:rsidR="00645FB6" w:rsidRDefault="00645FB6" w:rsidP="00645FB6">
      <w:pPr>
        <w:pStyle w:val="Citao"/>
      </w:pPr>
      <w:r>
        <w:t>m) peso: 155 gramas;</w:t>
      </w:r>
    </w:p>
    <w:p w:rsidR="00645FB6" w:rsidRPr="006F5F4B" w:rsidRDefault="00645FB6" w:rsidP="00645FB6">
      <w:pPr>
        <w:tabs>
          <w:tab w:val="left" w:pos="0"/>
          <w:tab w:val="left" w:pos="8460"/>
        </w:tabs>
        <w:autoSpaceDE w:val="0"/>
        <w:autoSpaceDN w:val="0"/>
        <w:adjustRightInd w:val="0"/>
      </w:pPr>
    </w:p>
    <w:p w:rsidR="00B96F20" w:rsidRDefault="00645FB6" w:rsidP="00B96F20">
      <w:pPr>
        <w:pStyle w:val="PPC"/>
      </w:pPr>
      <w:r>
        <w:t xml:space="preserve">Esclarece-se que a </w:t>
      </w:r>
      <w:r w:rsidRPr="00645FB6">
        <w:rPr>
          <w:bCs/>
          <w:iCs/>
        </w:rPr>
        <w:t>especificação exata de espessura e pode inviabilizar o fornecimento do</w:t>
      </w:r>
      <w:r w:rsidR="00953B24">
        <w:rPr>
          <w:bCs/>
          <w:iCs/>
        </w:rPr>
        <w:t xml:space="preserve"> aparelho e para trocas futuras, diante disso, vem requerer que sejam retiradas do edital as exigências das alíneas ‘l’ e ‘m’ do Anexo I.</w:t>
      </w:r>
      <w:r w:rsidR="00B96F20" w:rsidRPr="00B96F20">
        <w:t xml:space="preserve"> </w:t>
      </w:r>
    </w:p>
    <w:p w:rsidR="00DD46AE" w:rsidRDefault="00B96F20" w:rsidP="00B96F20">
      <w:pPr>
        <w:pStyle w:val="PPC"/>
      </w:pPr>
      <w:r>
        <w:t xml:space="preserve">Giro outro, verifica-se, ainda, que o edital exige </w:t>
      </w:r>
      <w:r w:rsidRPr="00B96F20">
        <w:t xml:space="preserve">pacote de dados somente para 7 acessos. </w:t>
      </w:r>
      <w:r>
        <w:t xml:space="preserve">Neste prisma, </w:t>
      </w:r>
      <w:r w:rsidR="00DD46AE">
        <w:t>ressalta-se que as especificações dos aparelhos se tratam de equipamentos de</w:t>
      </w:r>
      <w:r w:rsidRPr="00B96F20">
        <w:t xml:space="preserve"> alta gama, </w:t>
      </w:r>
      <w:r w:rsidR="00DD46AE">
        <w:t xml:space="preserve">o que </w:t>
      </w:r>
      <w:r w:rsidRPr="00B96F20">
        <w:t xml:space="preserve">poderá inviabilizar o edital financeiramente. </w:t>
      </w:r>
    </w:p>
    <w:p w:rsidR="00B96F20" w:rsidRPr="00B11D0C" w:rsidRDefault="00B96F20" w:rsidP="000845AB">
      <w:pPr>
        <w:pStyle w:val="PPC"/>
        <w:ind w:firstLine="0"/>
      </w:pPr>
    </w:p>
    <w:p w:rsidR="000845AB" w:rsidRPr="00B11D0C" w:rsidRDefault="00517A82" w:rsidP="000845AB">
      <w:pPr>
        <w:pStyle w:val="PPC"/>
      </w:pPr>
      <w:r>
        <w:t>Deste</w:t>
      </w:r>
      <w:r w:rsidR="00B96F20" w:rsidRPr="00B11D0C">
        <w:t xml:space="preserve"> modo, diante da</w:t>
      </w:r>
      <w:r w:rsidR="00DD46AE">
        <w:t xml:space="preserve"> solicitação de aparelhos de alta gama</w:t>
      </w:r>
      <w:r w:rsidR="00B96F20" w:rsidRPr="00B11D0C">
        <w:t xml:space="preserve">, para não haver ofensa ao </w:t>
      </w:r>
      <w:r w:rsidR="00DD46AE" w:rsidRPr="00B11D0C">
        <w:t>princípio</w:t>
      </w:r>
      <w:r w:rsidR="00B96F20" w:rsidRPr="00B11D0C">
        <w:t xml:space="preserve"> da</w:t>
      </w:r>
      <w:r w:rsidR="00DD46AE">
        <w:t xml:space="preserve"> economicidade</w:t>
      </w:r>
      <w:r w:rsidR="00B96F20" w:rsidRPr="00B11D0C">
        <w:t>, considerada</w:t>
      </w:r>
      <w:r w:rsidR="000845AB">
        <w:t xml:space="preserve"> a pretensão administrativa, vem requerer que </w:t>
      </w:r>
      <w:r w:rsidR="000845AB" w:rsidRPr="00B96F20">
        <w:t>o edital preveja pacote de dados para todos os aparelhos, pois não faz sentido ter aparelhos smartphones de alto desempenho sem pacote de dados</w:t>
      </w:r>
      <w:r w:rsidR="000845AB" w:rsidRPr="00B11D0C">
        <w:t xml:space="preserve"> </w:t>
      </w:r>
    </w:p>
    <w:p w:rsidR="00B96F20" w:rsidRPr="00B11D0C" w:rsidRDefault="00B96F20" w:rsidP="00B96F20">
      <w:pPr>
        <w:pStyle w:val="PPC"/>
        <w:rPr>
          <w:b/>
        </w:rPr>
      </w:pPr>
    </w:p>
    <w:p w:rsidR="002A7574" w:rsidRDefault="00C94E6F" w:rsidP="008A2883">
      <w:pPr>
        <w:pStyle w:val="PPC"/>
        <w:ind w:firstLine="0"/>
        <w:rPr>
          <w:b/>
          <w:u w:val="single"/>
        </w:rPr>
      </w:pPr>
      <w:r>
        <w:rPr>
          <w:b/>
          <w:u w:val="single"/>
        </w:rPr>
        <w:t>07</w:t>
      </w:r>
      <w:r w:rsidR="008A2883">
        <w:rPr>
          <w:b/>
          <w:u w:val="single"/>
        </w:rPr>
        <w:t xml:space="preserve">. </w:t>
      </w:r>
      <w:r w:rsidR="001E0968">
        <w:rPr>
          <w:b/>
          <w:u w:val="single"/>
        </w:rPr>
        <w:t>ESCLARECIMENTO ACERCA DO SERVIÇO INTRAGRUPO.</w:t>
      </w:r>
    </w:p>
    <w:p w:rsidR="001E0968" w:rsidRPr="00826054" w:rsidRDefault="001E0968" w:rsidP="008A2883">
      <w:pPr>
        <w:pStyle w:val="PPC"/>
        <w:ind w:firstLine="0"/>
        <w:rPr>
          <w:b/>
          <w:u w:val="single"/>
        </w:rPr>
      </w:pPr>
    </w:p>
    <w:p w:rsidR="008A2883" w:rsidRPr="001E0968" w:rsidRDefault="008A2883" w:rsidP="008A2883">
      <w:pPr>
        <w:pStyle w:val="PPC"/>
        <w:rPr>
          <w:i/>
          <w:szCs w:val="24"/>
        </w:rPr>
      </w:pPr>
      <w:r w:rsidRPr="00826054">
        <w:lastRenderedPageBreak/>
        <w:t xml:space="preserve">Questão que merece ser esclarecida é a referente ao alcance da previsão do item </w:t>
      </w:r>
      <w:r w:rsidR="001E0968">
        <w:t xml:space="preserve">7.1 </w:t>
      </w:r>
      <w:r w:rsidRPr="00826054">
        <w:t xml:space="preserve">do Anexo I – </w:t>
      </w:r>
      <w:r w:rsidR="001E0968">
        <w:t>Termo de Referência que define</w:t>
      </w:r>
      <w:r w:rsidRPr="00826054">
        <w:t xml:space="preserve"> </w:t>
      </w:r>
      <w:r w:rsidRPr="001E0968">
        <w:rPr>
          <w:i/>
        </w:rPr>
        <w:t>“</w:t>
      </w:r>
      <w:r w:rsidR="001E0968" w:rsidRPr="001E0968">
        <w:rPr>
          <w:i/>
        </w:rPr>
        <w:t xml:space="preserve">Visando apurar a oferta de preços, elaborou-se o quantitativo estimado de ligações, com base no levantamento do perfil de tráfego do CRN-2, conforme planilha abaixo, cujas informações não constituem em qualquer compromisso futuro para o CRN-2 de realização efetiva do consumo indicado neste anexo, servindo somente de subsídio para a </w:t>
      </w:r>
      <w:r w:rsidR="001E0968">
        <w:rPr>
          <w:i/>
        </w:rPr>
        <w:t>formulação da proposta de preço</w:t>
      </w:r>
      <w:r w:rsidRPr="001E0968">
        <w:rPr>
          <w:i/>
          <w:szCs w:val="24"/>
        </w:rPr>
        <w:t xml:space="preserve">”. </w:t>
      </w:r>
    </w:p>
    <w:p w:rsidR="008A2883" w:rsidRDefault="008A2883" w:rsidP="008A2883">
      <w:pPr>
        <w:pStyle w:val="PPC"/>
        <w:rPr>
          <w:i/>
          <w:szCs w:val="24"/>
        </w:rPr>
      </w:pPr>
    </w:p>
    <w:p w:rsidR="008A2883" w:rsidRPr="00826054" w:rsidRDefault="008A2883" w:rsidP="008A2883">
      <w:pPr>
        <w:pStyle w:val="PPC"/>
      </w:pPr>
      <w:r w:rsidRPr="00826054">
        <w:rPr>
          <w:szCs w:val="24"/>
        </w:rPr>
        <w:t>Tal previsão não deixa claro</w:t>
      </w:r>
      <w:r w:rsidRPr="00DE62E9">
        <w:rPr>
          <w:szCs w:val="24"/>
        </w:rPr>
        <w:t xml:space="preserve"> se</w:t>
      </w:r>
      <w:r w:rsidRPr="00826054">
        <w:rPr>
          <w:i/>
          <w:szCs w:val="24"/>
        </w:rPr>
        <w:t xml:space="preserve"> a </w:t>
      </w:r>
      <w:r w:rsidRPr="00826054">
        <w:t>tarifa zero nas ligações entre os aparelhos pertencentes aos planos contratados é apenas para ligações locais ou se atinge também as ligações nacionais.</w:t>
      </w:r>
    </w:p>
    <w:p w:rsidR="008A2883" w:rsidRPr="00826054" w:rsidRDefault="008A2883" w:rsidP="008A2883">
      <w:pPr>
        <w:pStyle w:val="PPC"/>
      </w:pPr>
    </w:p>
    <w:p w:rsidR="008A2883" w:rsidRPr="00826054" w:rsidRDefault="008A2883" w:rsidP="008A2883">
      <w:pPr>
        <w:pStyle w:val="PPC"/>
      </w:pPr>
      <w:r w:rsidRPr="00826054">
        <w:t xml:space="preserve">Neste sentido, caso a pretensão seja que a tarifa zero alcance ligações regionais e nacionais (e não apenas as ligações locais), </w:t>
      </w:r>
      <w:r>
        <w:t>é necessário prestar alguns esclarecimentos acerca dos valores dos serviços.</w:t>
      </w:r>
    </w:p>
    <w:p w:rsidR="008A2883" w:rsidRPr="00826054" w:rsidRDefault="008A2883" w:rsidP="008A2883">
      <w:pPr>
        <w:pStyle w:val="PPC"/>
        <w:ind w:firstLine="0"/>
      </w:pPr>
    </w:p>
    <w:p w:rsidR="008A2883" w:rsidRDefault="008A2883" w:rsidP="008A2883">
      <w:pPr>
        <w:pStyle w:val="PPC"/>
      </w:pPr>
      <w:r w:rsidRPr="00826054">
        <w:t xml:space="preserve">Evidente que tal tipo de serviço </w:t>
      </w:r>
      <w:proofErr w:type="spellStart"/>
      <w:r w:rsidRPr="00826054">
        <w:t>intragrupo</w:t>
      </w:r>
      <w:proofErr w:type="spellEnd"/>
      <w:r w:rsidRPr="00826054">
        <w:t xml:space="preserve"> zero constitui um ônus adicional à prestação comum do serviço de telefonia celular, dado que envolve uma demanda de ligações que não são tarifadas individualmente. Assim, é essencial que a ligação seja apenas no âmbito da área de registro dos aparelhos, sob pena de ocasionar ligações de outro tipo (VC2 e VC3)</w:t>
      </w:r>
      <w:r>
        <w:t>.</w:t>
      </w:r>
    </w:p>
    <w:p w:rsidR="008A2883" w:rsidRDefault="008A2883" w:rsidP="008A2883">
      <w:pPr>
        <w:pStyle w:val="PPC"/>
      </w:pPr>
    </w:p>
    <w:p w:rsidR="008A2883" w:rsidRPr="00A2675E" w:rsidRDefault="008A2883" w:rsidP="008A2883">
      <w:pPr>
        <w:pStyle w:val="PPC"/>
        <w:ind w:firstLine="1416"/>
        <w:rPr>
          <w:i/>
          <w:szCs w:val="24"/>
        </w:rPr>
      </w:pPr>
      <w:r>
        <w:t xml:space="preserve">Caso o serviço seja de âmbito nacional, </w:t>
      </w:r>
      <w:r w:rsidR="00257E8C">
        <w:rPr>
          <w:szCs w:val="24"/>
        </w:rPr>
        <w:t xml:space="preserve">é fundamental esclarecer que </w:t>
      </w:r>
      <w:r w:rsidRPr="00A2675E">
        <w:rPr>
          <w:szCs w:val="24"/>
        </w:rPr>
        <w:t xml:space="preserve">as ligações em </w:t>
      </w:r>
      <w:r w:rsidRPr="00A2675E">
        <w:rPr>
          <w:i/>
          <w:szCs w:val="24"/>
        </w:rPr>
        <w:t xml:space="preserve">roaming </w:t>
      </w:r>
      <w:r w:rsidRPr="00A2675E">
        <w:rPr>
          <w:szCs w:val="24"/>
        </w:rPr>
        <w:t xml:space="preserve">constituem um ônus adicional à prestação comum do serviço de telefonia celular, </w:t>
      </w:r>
      <w:r>
        <w:rPr>
          <w:szCs w:val="24"/>
        </w:rPr>
        <w:t>t</w:t>
      </w:r>
      <w:r w:rsidRPr="00A2675E">
        <w:rPr>
          <w:szCs w:val="24"/>
        </w:rPr>
        <w:t>razendo necessariamente um ônus maior à operadora.</w:t>
      </w:r>
    </w:p>
    <w:p w:rsidR="008A2883" w:rsidRPr="00A2675E" w:rsidRDefault="008A2883" w:rsidP="008A2883"/>
    <w:p w:rsidR="008A2883" w:rsidRPr="00A2675E" w:rsidRDefault="008A2883" w:rsidP="008A2883">
      <w:r w:rsidRPr="00A2675E">
        <w:t>Lado outro, o serviço de roaming só poderá ser prestado na rede de cobertura da operadora contratada, ou seja, onde a empresa tenha cobertura de acesso, estando assim diretamente relacionado à cobertura. Ademais, o serviço em roaming se caracteriza apenas quando as linhas são utilizadas fora da área de habilitação.</w:t>
      </w:r>
    </w:p>
    <w:p w:rsidR="008A2883" w:rsidRPr="00A2675E" w:rsidRDefault="008A2883" w:rsidP="008A2883"/>
    <w:p w:rsidR="008A2883" w:rsidRPr="00A2675E" w:rsidRDefault="00257E8C" w:rsidP="008A2883">
      <w:pPr>
        <w:pStyle w:val="PPC"/>
        <w:rPr>
          <w:szCs w:val="24"/>
        </w:rPr>
      </w:pPr>
      <w:r>
        <w:rPr>
          <w:szCs w:val="24"/>
        </w:rPr>
        <w:t>Nesse diapasã</w:t>
      </w:r>
      <w:r w:rsidR="006D2D3A">
        <w:rPr>
          <w:szCs w:val="24"/>
        </w:rPr>
        <w:t xml:space="preserve">o, entende esta Operadora que o </w:t>
      </w:r>
      <w:r w:rsidRPr="00257E8C">
        <w:rPr>
          <w:szCs w:val="24"/>
        </w:rPr>
        <w:t xml:space="preserve">Serviço </w:t>
      </w:r>
      <w:proofErr w:type="spellStart"/>
      <w:r w:rsidRPr="00257E8C">
        <w:rPr>
          <w:szCs w:val="24"/>
        </w:rPr>
        <w:t>Intragrupo</w:t>
      </w:r>
      <w:proofErr w:type="spellEnd"/>
      <w:r w:rsidRPr="00257E8C">
        <w:rPr>
          <w:szCs w:val="24"/>
        </w:rPr>
        <w:t xml:space="preserve"> </w:t>
      </w:r>
      <w:r>
        <w:rPr>
          <w:szCs w:val="24"/>
        </w:rPr>
        <w:t xml:space="preserve">exigido no ato convocatório </w:t>
      </w:r>
      <w:r w:rsidRPr="00257E8C">
        <w:rPr>
          <w:szCs w:val="24"/>
        </w:rPr>
        <w:t>contempla apenas ligações locais tipo VC1 entre linhas pertencentes ao mesmo CNPJ contratante</w:t>
      </w:r>
      <w:r>
        <w:rPr>
          <w:szCs w:val="24"/>
        </w:rPr>
        <w:t>, está correto este entendimento?</w:t>
      </w:r>
    </w:p>
    <w:p w:rsidR="008A2883" w:rsidRDefault="008A2883" w:rsidP="008A2883"/>
    <w:p w:rsidR="00922C29" w:rsidRPr="00F553CB" w:rsidRDefault="00C94E6F" w:rsidP="00922C29">
      <w:pPr>
        <w:pStyle w:val="PPC"/>
        <w:ind w:firstLine="0"/>
        <w:rPr>
          <w:b/>
          <w:szCs w:val="24"/>
          <w:u w:val="single"/>
        </w:rPr>
      </w:pPr>
      <w:r>
        <w:rPr>
          <w:b/>
          <w:szCs w:val="24"/>
          <w:u w:val="single"/>
        </w:rPr>
        <w:t>08</w:t>
      </w:r>
      <w:r w:rsidR="00922C29">
        <w:rPr>
          <w:b/>
          <w:szCs w:val="24"/>
          <w:u w:val="single"/>
        </w:rPr>
        <w:t xml:space="preserve">. </w:t>
      </w:r>
      <w:r w:rsidR="00922C29" w:rsidRPr="00F553CB">
        <w:rPr>
          <w:b/>
          <w:szCs w:val="24"/>
          <w:u w:val="single"/>
        </w:rPr>
        <w:t>ESCLARECIMENTO QUANTO SERVI</w:t>
      </w:r>
      <w:r w:rsidR="00922C29">
        <w:rPr>
          <w:b/>
          <w:szCs w:val="24"/>
          <w:u w:val="single"/>
        </w:rPr>
        <w:t>ÇO (PACOTE) DE DADOS.</w:t>
      </w:r>
    </w:p>
    <w:p w:rsidR="00922C29" w:rsidRDefault="00922C29" w:rsidP="00922C29">
      <w:pPr>
        <w:pStyle w:val="PPC"/>
        <w:ind w:firstLine="0"/>
        <w:rPr>
          <w:b/>
          <w:szCs w:val="24"/>
          <w:u w:val="single"/>
        </w:rPr>
      </w:pPr>
    </w:p>
    <w:p w:rsidR="00922C29" w:rsidRPr="008A013D" w:rsidRDefault="00922C29" w:rsidP="00922C29">
      <w:pPr>
        <w:pStyle w:val="PPC"/>
        <w:rPr>
          <w:szCs w:val="24"/>
        </w:rPr>
      </w:pPr>
      <w:r>
        <w:rPr>
          <w:szCs w:val="24"/>
        </w:rPr>
        <w:lastRenderedPageBreak/>
        <w:t xml:space="preserve">No que tange ao serviço de transmissão de dados através de terminais móveis; </w:t>
      </w:r>
      <w:r w:rsidR="0081203D">
        <w:rPr>
          <w:szCs w:val="24"/>
        </w:rPr>
        <w:t xml:space="preserve">a descrição da Planilha de Estimativa de Custo do item 7.1 do Anexo I </w:t>
      </w:r>
      <w:r>
        <w:rPr>
          <w:szCs w:val="24"/>
        </w:rPr>
        <w:t>aponta</w:t>
      </w:r>
      <w:r w:rsidR="0081203D">
        <w:rPr>
          <w:szCs w:val="24"/>
        </w:rPr>
        <w:t xml:space="preserve"> apenas</w:t>
      </w:r>
      <w:r>
        <w:rPr>
          <w:szCs w:val="24"/>
        </w:rPr>
        <w:t xml:space="preserve"> que a operadora contratada deverá disponibilizar à contratante, </w:t>
      </w:r>
      <w:r w:rsidR="0081203D">
        <w:rPr>
          <w:i/>
          <w:szCs w:val="24"/>
          <w:u w:val="single"/>
        </w:rPr>
        <w:t>acesso ilimitado via i</w:t>
      </w:r>
      <w:r w:rsidRPr="008A013D">
        <w:rPr>
          <w:i/>
          <w:szCs w:val="24"/>
          <w:u w:val="single"/>
        </w:rPr>
        <w:t>nternet</w:t>
      </w:r>
      <w:r w:rsidR="0081203D">
        <w:rPr>
          <w:i/>
          <w:szCs w:val="24"/>
          <w:u w:val="single"/>
        </w:rPr>
        <w:t>.</w:t>
      </w:r>
    </w:p>
    <w:p w:rsidR="00922C29" w:rsidRDefault="00922C29" w:rsidP="00510EF5">
      <w:pPr>
        <w:ind w:firstLine="0"/>
        <w:outlineLvl w:val="0"/>
      </w:pPr>
    </w:p>
    <w:p w:rsidR="00F02C0F" w:rsidRPr="00645FB6" w:rsidRDefault="00510EF5" w:rsidP="00F02C0F">
      <w:pPr>
        <w:outlineLvl w:val="0"/>
      </w:pPr>
      <w:r>
        <w:t>Diante desta previsão</w:t>
      </w:r>
      <w:r w:rsidR="00922C29">
        <w:t xml:space="preserve">, destaca-se a necessidade de </w:t>
      </w:r>
      <w:r>
        <w:t xml:space="preserve">questionar se está correto o entendimento </w:t>
      </w:r>
      <w:r w:rsidR="00F02C0F">
        <w:t xml:space="preserve">de </w:t>
      </w:r>
      <w:r>
        <w:t xml:space="preserve">que </w:t>
      </w:r>
      <w:r w:rsidRPr="00510EF5">
        <w:t xml:space="preserve">nos pacotes de dados solicitados, quando a franquia contratada for atingida, será permitida a redução da velocidade de conexão com a continuidade do serviço sem cobrança de tráfego excedente, sendo esta </w:t>
      </w:r>
      <w:proofErr w:type="spellStart"/>
      <w:r w:rsidRPr="00510EF5">
        <w:t>reestablecida</w:t>
      </w:r>
      <w:proofErr w:type="spellEnd"/>
      <w:r w:rsidRPr="00510EF5">
        <w:t xml:space="preserve"> no ciclo de faturamento seguinte</w:t>
      </w:r>
      <w:r w:rsidR="00F02C0F">
        <w:t>. Neste norte, requer seja elucidada a questão supracitada.</w:t>
      </w:r>
    </w:p>
    <w:p w:rsidR="001747A5" w:rsidRDefault="001747A5" w:rsidP="001747A5">
      <w:pPr>
        <w:pStyle w:val="PPC"/>
      </w:pPr>
    </w:p>
    <w:p w:rsidR="001747A5" w:rsidRDefault="001747A5" w:rsidP="001747A5">
      <w:pPr>
        <w:pStyle w:val="PPC"/>
        <w:spacing w:line="240" w:lineRule="auto"/>
        <w:ind w:firstLine="0"/>
        <w:rPr>
          <w:b/>
          <w:u w:val="single"/>
        </w:rPr>
      </w:pPr>
      <w:r>
        <w:rPr>
          <w:b/>
          <w:u w:val="single"/>
        </w:rPr>
        <w:t>09. PRAZO EXÍGUO PARA ENTREGA DOS APARELHOS E INÍCIO DA PRESTAÇÃO DO SERVIÇO.</w:t>
      </w:r>
    </w:p>
    <w:p w:rsidR="001747A5" w:rsidRDefault="001747A5" w:rsidP="001747A5">
      <w:pPr>
        <w:pStyle w:val="PPC"/>
      </w:pPr>
    </w:p>
    <w:p w:rsidR="001747A5" w:rsidRPr="00E325F5" w:rsidRDefault="001747A5" w:rsidP="001747A5">
      <w:pPr>
        <w:pStyle w:val="PPC"/>
        <w:rPr>
          <w:rFonts w:ascii="Arial (W1)" w:hAnsi="Arial (W1)"/>
        </w:rPr>
      </w:pPr>
      <w:r w:rsidRPr="00E325F5">
        <w:t xml:space="preserve">Em relação aos aparelhos, verifica-se, ainda, que o </w:t>
      </w:r>
      <w:r w:rsidRPr="00E325F5">
        <w:rPr>
          <w:rFonts w:ascii="Arial (W1)" w:hAnsi="Arial (W1)"/>
        </w:rPr>
        <w:t>prazo de início da prestação dos serviços (o que inclui a entr</w:t>
      </w:r>
      <w:r w:rsidR="00E325F5" w:rsidRPr="00E325F5">
        <w:rPr>
          <w:rFonts w:ascii="Arial (W1)" w:hAnsi="Arial (W1)"/>
        </w:rPr>
        <w:t>ega dos aparelhos) é de apenas 15 (quinze) dias corridos após a assinatura do Contrato</w:t>
      </w:r>
      <w:r w:rsidRPr="00E325F5">
        <w:rPr>
          <w:rFonts w:ascii="Arial (W1)" w:hAnsi="Arial (W1)"/>
        </w:rPr>
        <w:t>, conforme ite</w:t>
      </w:r>
      <w:r w:rsidR="00E325F5" w:rsidRPr="00E325F5">
        <w:rPr>
          <w:rFonts w:ascii="Arial (W1)" w:hAnsi="Arial (W1)"/>
        </w:rPr>
        <w:t>ns 10.2 e 12.1, alínea ‘a’</w:t>
      </w:r>
      <w:r w:rsidR="00C77630">
        <w:rPr>
          <w:rFonts w:ascii="Arial (W1)" w:hAnsi="Arial (W1)"/>
        </w:rPr>
        <w:t xml:space="preserve"> do Anexo I e Cláusula Sexta, alínea ‘a’ do Anexo II.</w:t>
      </w:r>
      <w:r w:rsidRPr="00E325F5">
        <w:rPr>
          <w:rFonts w:ascii="Arial (W1)" w:hAnsi="Arial (W1)"/>
        </w:rPr>
        <w:t xml:space="preserve"> </w:t>
      </w:r>
    </w:p>
    <w:p w:rsidR="001747A5" w:rsidRDefault="001747A5" w:rsidP="001747A5">
      <w:pPr>
        <w:pStyle w:val="PPC"/>
      </w:pPr>
    </w:p>
    <w:p w:rsidR="00E325F5" w:rsidRDefault="001747A5" w:rsidP="001747A5">
      <w:pPr>
        <w:pStyle w:val="PPC"/>
      </w:pPr>
      <w:r>
        <w:t xml:space="preserve">Todavia, </w:t>
      </w:r>
      <w:r>
        <w:rPr>
          <w:b/>
        </w:rPr>
        <w:t>tal prazo é INSUFICIENTE para que os aparelhos celulares possam ser entregues por qualquer operadora</w:t>
      </w:r>
      <w:r>
        <w:t xml:space="preserve">. A exiguidade do prazo pode ser verificada pelo simples fato de que a entrega dos aparelhos celulares - ainda que em disponibilidade imediata - depende de um prazo razoável para cumprimento dos rituais internos da operadora, tais como: solicitação junto ao fornecedor, expedição da ordem de entrega, verificação do estoque, emissão da nota fiscal do produto, frete </w:t>
      </w:r>
      <w:r w:rsidRPr="00E325F5">
        <w:t>para o</w:t>
      </w:r>
      <w:r w:rsidR="00E325F5" w:rsidRPr="00E325F5">
        <w:rPr>
          <w:rFonts w:ascii="Arial (W1)" w:hAnsi="Arial (W1)"/>
        </w:rPr>
        <w:t xml:space="preserve"> Conselho Regional de Nutricionistas da 2ª Região </w:t>
      </w:r>
      <w:r w:rsidRPr="00E325F5">
        <w:t xml:space="preserve">dentre outros. </w:t>
      </w:r>
    </w:p>
    <w:p w:rsidR="00E325F5" w:rsidRDefault="00E325F5" w:rsidP="001747A5">
      <w:pPr>
        <w:pStyle w:val="PPC"/>
      </w:pPr>
    </w:p>
    <w:p w:rsidR="001747A5" w:rsidRDefault="001747A5" w:rsidP="001747A5">
      <w:pPr>
        <w:pStyle w:val="PPC"/>
      </w:pPr>
      <w:r>
        <w:t>Ressalta-se que os aparelhos celulares não são produzidos pela operadora, sendo obtidos junto aos respectivos fabricantes e, ainda que haja uma compra constante, sempre há sujeição a questões mercadológicas que não permitem seja assumido o compromisso de entrega no exíguo prazo indicado no edital.</w:t>
      </w:r>
    </w:p>
    <w:p w:rsidR="001747A5" w:rsidRDefault="001747A5" w:rsidP="001747A5">
      <w:pPr>
        <w:pStyle w:val="PPC"/>
      </w:pPr>
    </w:p>
    <w:p w:rsidR="001747A5" w:rsidRDefault="001747A5" w:rsidP="001747A5">
      <w:pPr>
        <w:pStyle w:val="PPC"/>
      </w:pPr>
      <w:r>
        <w:t>Assim, o prejuízo para a Administração Pública em se manter este curto prazo de entrega dos aparelhos é imenso, dado que inviabilizaria a participação das concorrentes, em função de não ser possível cumprir o lapso de tempo indicado no edital.</w:t>
      </w:r>
    </w:p>
    <w:p w:rsidR="001747A5" w:rsidRDefault="001747A5" w:rsidP="001747A5">
      <w:pPr>
        <w:pStyle w:val="PPC"/>
      </w:pPr>
    </w:p>
    <w:p w:rsidR="001747A5" w:rsidRDefault="001747A5" w:rsidP="001747A5">
      <w:pPr>
        <w:pStyle w:val="PPC"/>
      </w:pPr>
      <w:r>
        <w:lastRenderedPageBreak/>
        <w:t xml:space="preserve">Sob outro prisma, o aumento deste prazo de entrega não acarretará qualquer ônus à Administração Pública, </w:t>
      </w:r>
      <w:r>
        <w:rPr>
          <w:b/>
        </w:rPr>
        <w:t xml:space="preserve">sugerindo-se o </w:t>
      </w:r>
      <w:r w:rsidR="00E325F5">
        <w:rPr>
          <w:b/>
          <w:u w:val="single"/>
        </w:rPr>
        <w:t>prazo de 15 (quinze</w:t>
      </w:r>
      <w:r>
        <w:rPr>
          <w:b/>
          <w:u w:val="single"/>
        </w:rPr>
        <w:t>) dias</w:t>
      </w:r>
      <w:r w:rsidR="00E325F5">
        <w:rPr>
          <w:b/>
          <w:u w:val="single"/>
        </w:rPr>
        <w:t xml:space="preserve"> úteis</w:t>
      </w:r>
      <w:r>
        <w:rPr>
          <w:b/>
        </w:rPr>
        <w:t>,</w:t>
      </w:r>
      <w:r>
        <w:t xml:space="preserve"> suficiente para suprir a necessidade administrativa e adequada à possibilidade de cumprimento por parte da futura contratada.</w:t>
      </w:r>
    </w:p>
    <w:p w:rsidR="001747A5" w:rsidRDefault="001747A5" w:rsidP="001747A5">
      <w:pPr>
        <w:pStyle w:val="PPC"/>
      </w:pPr>
    </w:p>
    <w:p w:rsidR="001747A5" w:rsidRDefault="001747A5" w:rsidP="001747A5">
      <w:pPr>
        <w:pStyle w:val="PPC"/>
      </w:pPr>
      <w:r>
        <w:t xml:space="preserve">Vale ressaltar que o não cumprimento do prazo de entrega dos aparelhos induz a aplicação das penalidades contratuais, situação esta que determinaria a opção da operadora por sequer participar da licitação, com restrição da competitividade em função deste fato. </w:t>
      </w:r>
    </w:p>
    <w:p w:rsidR="001747A5" w:rsidRDefault="001747A5" w:rsidP="001747A5">
      <w:pPr>
        <w:pStyle w:val="PPC"/>
      </w:pPr>
    </w:p>
    <w:p w:rsidR="001747A5" w:rsidRDefault="001747A5" w:rsidP="001747A5">
      <w:pPr>
        <w:pStyle w:val="PPC"/>
      </w:pPr>
      <w:r>
        <w:t>Tal restrição à competitividade é absolutamente ilegal, com ferimento direto ao artigo 3.º</w:t>
      </w:r>
      <w:r w:rsidR="0069307D">
        <w:t>, §1.º, inciso I da lei 8666/93.</w:t>
      </w:r>
    </w:p>
    <w:p w:rsidR="00402DDA" w:rsidRDefault="00402DDA" w:rsidP="001747A5">
      <w:pPr>
        <w:pStyle w:val="PPC"/>
      </w:pPr>
    </w:p>
    <w:p w:rsidR="000A72A4" w:rsidRPr="00A2675E" w:rsidRDefault="000A72A4" w:rsidP="000A72A4">
      <w:pPr>
        <w:pStyle w:val="PPC"/>
        <w:ind w:firstLine="0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10. </w:t>
      </w:r>
      <w:r w:rsidRPr="00A2675E">
        <w:rPr>
          <w:b/>
          <w:szCs w:val="24"/>
          <w:u w:val="single"/>
        </w:rPr>
        <w:t xml:space="preserve">ESCLARECIMENTO QUANTO AO SERVIÇO DE </w:t>
      </w:r>
      <w:r w:rsidRPr="00A2675E">
        <w:rPr>
          <w:b/>
          <w:i/>
          <w:szCs w:val="24"/>
          <w:u w:val="single"/>
        </w:rPr>
        <w:t>ROAMING</w:t>
      </w:r>
      <w:r w:rsidRPr="00A2675E">
        <w:rPr>
          <w:b/>
          <w:szCs w:val="24"/>
          <w:u w:val="single"/>
        </w:rPr>
        <w:t xml:space="preserve"> NACIONAL.</w:t>
      </w:r>
    </w:p>
    <w:p w:rsidR="000A72A4" w:rsidRPr="00A2675E" w:rsidRDefault="000A72A4" w:rsidP="000A72A4">
      <w:pPr>
        <w:rPr>
          <w:b/>
          <w:bCs/>
          <w:u w:val="single"/>
        </w:rPr>
      </w:pPr>
    </w:p>
    <w:p w:rsidR="000A72A4" w:rsidRPr="0020572E" w:rsidRDefault="000A72A4" w:rsidP="0020572E">
      <w:pPr>
        <w:pStyle w:val="PPC"/>
        <w:rPr>
          <w:i/>
        </w:rPr>
      </w:pPr>
      <w:r>
        <w:t xml:space="preserve">O </w:t>
      </w:r>
      <w:r w:rsidRPr="0020572E">
        <w:t xml:space="preserve">item </w:t>
      </w:r>
      <w:r w:rsidR="0020572E" w:rsidRPr="0020572E">
        <w:t>12.1, alínea ‘j’</w:t>
      </w:r>
      <w:r w:rsidRPr="0020572E">
        <w:t xml:space="preserve"> do edital </w:t>
      </w:r>
      <w:r w:rsidR="00C77630">
        <w:t>e a alínea ‘j’ da Cláusula Sexta da Minuta do Contrato preveem</w:t>
      </w:r>
      <w:r w:rsidRPr="0020572E">
        <w:t xml:space="preserve"> que deverá a contratada “</w:t>
      </w:r>
      <w:r w:rsidR="0020572E" w:rsidRPr="0020572E">
        <w:rPr>
          <w:i/>
        </w:rPr>
        <w:t>possibilitar aos usuários de telefones celulares condições de “roaming” e acesso ao serviço móvel celular automático mesmo que em redes de outras prestadoras de serviços</w:t>
      </w:r>
      <w:r w:rsidRPr="0020572E">
        <w:rPr>
          <w:i/>
          <w:iCs/>
        </w:rPr>
        <w:t>”.</w:t>
      </w:r>
    </w:p>
    <w:p w:rsidR="0020572E" w:rsidRPr="0020572E" w:rsidRDefault="0020572E" w:rsidP="000A72A4">
      <w:pPr>
        <w:pStyle w:val="PPC"/>
        <w:ind w:firstLine="1416"/>
        <w:rPr>
          <w:rFonts w:eastAsia="Calibri"/>
          <w:snapToGrid/>
        </w:rPr>
      </w:pPr>
    </w:p>
    <w:p w:rsidR="000A72A4" w:rsidRPr="00A2675E" w:rsidRDefault="000A72A4" w:rsidP="000A72A4">
      <w:pPr>
        <w:pStyle w:val="PPC"/>
        <w:ind w:firstLine="1416"/>
        <w:rPr>
          <w:i/>
          <w:szCs w:val="24"/>
        </w:rPr>
      </w:pPr>
      <w:r w:rsidRPr="00A2675E">
        <w:rPr>
          <w:szCs w:val="24"/>
        </w:rPr>
        <w:t>Neste ponto, é fundamental esclarecer que</w:t>
      </w:r>
      <w:r>
        <w:rPr>
          <w:szCs w:val="24"/>
        </w:rPr>
        <w:t xml:space="preserve"> </w:t>
      </w:r>
      <w:r w:rsidRPr="00A2675E">
        <w:rPr>
          <w:szCs w:val="24"/>
        </w:rPr>
        <w:t xml:space="preserve">as ligações em </w:t>
      </w:r>
      <w:r w:rsidRPr="00A2675E">
        <w:rPr>
          <w:i/>
          <w:szCs w:val="24"/>
        </w:rPr>
        <w:t xml:space="preserve">roaming </w:t>
      </w:r>
      <w:r w:rsidRPr="00A2675E">
        <w:rPr>
          <w:szCs w:val="24"/>
        </w:rPr>
        <w:t>constituem um ônus adicional à prestação comum do serviço de telefonia celular, dado que envolve a participação de outra rede na execução do serviço, trazendo necessariamente um ônus maior à operadora.</w:t>
      </w:r>
    </w:p>
    <w:p w:rsidR="000A72A4" w:rsidRPr="00A2675E" w:rsidRDefault="000A72A4" w:rsidP="000A72A4"/>
    <w:p w:rsidR="000A72A4" w:rsidRPr="00A2675E" w:rsidRDefault="000A72A4" w:rsidP="000A72A4">
      <w:r w:rsidRPr="00A2675E">
        <w:t>Lado outro, o serviço de roaming só poderá ser prestado na rede de cobertura da operadora contratada, ou seja, onde a empresa tenha cobertura de acesso, estando assim diretamente relacionado à cobertura. Ademais, o serviço em roaming se caracteriza apenas quando as linhas são utilizadas fora da área de habilitação.</w:t>
      </w:r>
    </w:p>
    <w:p w:rsidR="000A72A4" w:rsidRPr="00A2675E" w:rsidRDefault="000A72A4" w:rsidP="000A72A4">
      <w:pPr>
        <w:pStyle w:val="PPC"/>
        <w:rPr>
          <w:szCs w:val="24"/>
        </w:rPr>
      </w:pPr>
    </w:p>
    <w:p w:rsidR="000A72A4" w:rsidRPr="00A2675E" w:rsidRDefault="000A72A4" w:rsidP="000A72A4">
      <w:pPr>
        <w:pStyle w:val="PPC"/>
        <w:rPr>
          <w:szCs w:val="24"/>
        </w:rPr>
      </w:pPr>
      <w:r w:rsidRPr="00A2675E">
        <w:rPr>
          <w:szCs w:val="24"/>
        </w:rPr>
        <w:t xml:space="preserve">Destarte, as cobranças das ligações em </w:t>
      </w:r>
      <w:r w:rsidRPr="00A2675E">
        <w:rPr>
          <w:i/>
          <w:szCs w:val="24"/>
        </w:rPr>
        <w:t>roaming</w:t>
      </w:r>
      <w:r w:rsidRPr="00A2675E">
        <w:rPr>
          <w:szCs w:val="24"/>
        </w:rPr>
        <w:t xml:space="preserve"> são feitas a partir dos valores de AD2 e DSL2, de forma conjunta, sendo que o primeiro é feito por evento enquanto que o segundo é cobrado por minuto, devendo ambos ter a mesma pretensão quantitativa, sendo um por minuto e o outro por evento.</w:t>
      </w:r>
    </w:p>
    <w:p w:rsidR="000A72A4" w:rsidRPr="00A2675E" w:rsidRDefault="000A72A4" w:rsidP="000A72A4"/>
    <w:p w:rsidR="000A72A4" w:rsidRDefault="000A72A4" w:rsidP="000A72A4">
      <w:pPr>
        <w:pStyle w:val="PPC"/>
      </w:pPr>
      <w:r w:rsidRPr="00A2675E">
        <w:rPr>
          <w:szCs w:val="24"/>
        </w:rPr>
        <w:t xml:space="preserve">Nesse diapasão, deve ser previsto que o serviço de </w:t>
      </w:r>
      <w:r w:rsidRPr="00A2675E">
        <w:rPr>
          <w:i/>
          <w:szCs w:val="24"/>
        </w:rPr>
        <w:t>roaming</w:t>
      </w:r>
      <w:r w:rsidRPr="00A2675E">
        <w:rPr>
          <w:szCs w:val="24"/>
        </w:rPr>
        <w:t xml:space="preserve"> só será permitido fora da área de habilitação da linha, </w:t>
      </w:r>
      <w:r w:rsidRPr="00182443">
        <w:rPr>
          <w:b/>
          <w:szCs w:val="24"/>
          <w:u w:val="single"/>
        </w:rPr>
        <w:t>através das cobranças dos valores de AD2 e DSL2</w:t>
      </w:r>
      <w:r w:rsidRPr="00A2675E">
        <w:rPr>
          <w:szCs w:val="24"/>
        </w:rPr>
        <w:t xml:space="preserve"> e desde que a contratada tenha cobertura na </w:t>
      </w:r>
      <w:r w:rsidRPr="00A2675E">
        <w:rPr>
          <w:szCs w:val="24"/>
        </w:rPr>
        <w:lastRenderedPageBreak/>
        <w:t xml:space="preserve">área onde os serviços serão utilizados, tendo em vista que ainda que seja utilizado o convênio com outras operadoras é fundamental a cobertura da contratada.  </w:t>
      </w:r>
    </w:p>
    <w:p w:rsidR="00FD384B" w:rsidRDefault="00FD384B" w:rsidP="00E325F5">
      <w:pPr>
        <w:ind w:firstLine="0"/>
        <w:rPr>
          <w:lang w:eastAsia="ar-SA"/>
        </w:rPr>
      </w:pPr>
    </w:p>
    <w:p w:rsidR="00686D55" w:rsidRDefault="00686D55" w:rsidP="00686D55">
      <w:pPr>
        <w:pStyle w:val="Ttulo"/>
        <w:rPr>
          <w:szCs w:val="24"/>
        </w:rPr>
      </w:pPr>
      <w:r>
        <w:rPr>
          <w:szCs w:val="24"/>
        </w:rPr>
        <w:t>11. ESCLARECIMENTO QUANTO AO OBJETO LICITADO.</w:t>
      </w:r>
    </w:p>
    <w:p w:rsidR="00686D55" w:rsidRDefault="00686D55" w:rsidP="00686D55"/>
    <w:p w:rsidR="00686D55" w:rsidRDefault="00686D55" w:rsidP="00686D55">
      <w:r>
        <w:t>O item 12.1, alínea ‘p’ do Anexo I</w:t>
      </w:r>
      <w:r w:rsidR="00E74ABD">
        <w:t>, bem como a alínea ‘p’ da Cláusula Sexta da Minuta do Contrato,</w:t>
      </w:r>
      <w:r>
        <w:t xml:space="preserve"> preconiza</w:t>
      </w:r>
      <w:r w:rsidR="00E74ABD">
        <w:t>m</w:t>
      </w:r>
      <w:r>
        <w:t xml:space="preserve"> </w:t>
      </w:r>
      <w:r w:rsidR="009743B0">
        <w:t>como obrigação da Contratada</w:t>
      </w:r>
      <w:r>
        <w:t>:</w:t>
      </w:r>
    </w:p>
    <w:p w:rsidR="00686D55" w:rsidRDefault="00686D55" w:rsidP="00686D55"/>
    <w:p w:rsidR="00686D55" w:rsidRPr="00686D55" w:rsidRDefault="00686D55" w:rsidP="009743B0">
      <w:pPr>
        <w:pStyle w:val="Citao"/>
      </w:pPr>
      <w:r>
        <w:t>p) fornecer ao CRN-2, pelo período em que durar o Contrato, aparelhos móveis novos e</w:t>
      </w:r>
      <w:r w:rsidR="009743B0">
        <w:t xml:space="preserve"> </w:t>
      </w:r>
      <w:r>
        <w:t>tecnologicamente atualizados, que permitirão o acesso ao serviço contratado, compatível com</w:t>
      </w:r>
      <w:r w:rsidR="009743B0">
        <w:t xml:space="preserve"> </w:t>
      </w:r>
      <w:r>
        <w:t>os aparelhos comercializados na data da licitação, sem ônus adicional ao CRN-2;</w:t>
      </w:r>
    </w:p>
    <w:p w:rsidR="00686D55" w:rsidRDefault="00686D55" w:rsidP="00686D55"/>
    <w:p w:rsidR="00686D55" w:rsidRDefault="009743B0" w:rsidP="00686D55">
      <w:r>
        <w:t xml:space="preserve">Diante desta previsão, </w:t>
      </w:r>
      <w:r w:rsidR="00EE126D" w:rsidRPr="009743B0">
        <w:t>entende</w:t>
      </w:r>
      <w:r w:rsidR="00EE126D">
        <w:t xml:space="preserve"> a presente Operadora</w:t>
      </w:r>
      <w:r w:rsidRPr="009743B0">
        <w:t xml:space="preserve"> que os aparelhos deverão ser capazes de permitir a utilização dos serviços contratados no edital e que deverão atender às especificações técnicas mínimas des</w:t>
      </w:r>
      <w:r w:rsidR="00EE126D">
        <w:t xml:space="preserve">critas no termo de referência. </w:t>
      </w:r>
      <w:r w:rsidRPr="009743B0">
        <w:t>Está correto nosso entendimento?</w:t>
      </w:r>
    </w:p>
    <w:p w:rsidR="009743B0" w:rsidRDefault="009743B0" w:rsidP="00F36050">
      <w:pPr>
        <w:ind w:firstLine="0"/>
        <w:outlineLvl w:val="0"/>
      </w:pPr>
    </w:p>
    <w:p w:rsidR="00B26D0D" w:rsidRPr="00A96C34" w:rsidRDefault="00B26D0D" w:rsidP="00B26D0D">
      <w:pPr>
        <w:pStyle w:val="PPC"/>
        <w:ind w:firstLine="0"/>
        <w:rPr>
          <w:b/>
          <w:u w:val="single"/>
        </w:rPr>
      </w:pPr>
      <w:r>
        <w:rPr>
          <w:b/>
          <w:u w:val="single"/>
        </w:rPr>
        <w:t xml:space="preserve">12. </w:t>
      </w:r>
      <w:r w:rsidRPr="00A96C34">
        <w:rPr>
          <w:b/>
          <w:u w:val="single"/>
        </w:rPr>
        <w:t xml:space="preserve">ESCLARECIMENTO QUANTO A REPARAÇÃO DE APARELHOS. AUSÊNCIA DE </w:t>
      </w:r>
      <w:r w:rsidRPr="00A96C34">
        <w:rPr>
          <w:b/>
          <w:i/>
          <w:u w:val="single"/>
        </w:rPr>
        <w:t>BACKUP</w:t>
      </w:r>
      <w:r w:rsidRPr="00A96C34">
        <w:rPr>
          <w:b/>
          <w:u w:val="single"/>
        </w:rPr>
        <w:t xml:space="preserve"> NO EDITAL</w:t>
      </w:r>
    </w:p>
    <w:p w:rsidR="00B26D0D" w:rsidRPr="00A96C34" w:rsidRDefault="00B26D0D" w:rsidP="00B26D0D">
      <w:pPr>
        <w:pStyle w:val="PPC"/>
      </w:pPr>
    </w:p>
    <w:p w:rsidR="00B26D0D" w:rsidRPr="00B26D0D" w:rsidRDefault="00B26D0D" w:rsidP="00B26D0D">
      <w:pPr>
        <w:autoSpaceDE w:val="0"/>
        <w:autoSpaceDN w:val="0"/>
        <w:adjustRightInd w:val="0"/>
        <w:rPr>
          <w:b/>
          <w:i/>
        </w:rPr>
      </w:pPr>
      <w:r>
        <w:t>O item 12.1, alínea ‘t’</w:t>
      </w:r>
      <w:r w:rsidR="00C911D6">
        <w:t xml:space="preserve"> do Anexo I e a alínea ‘t’</w:t>
      </w:r>
      <w:r w:rsidR="00011367">
        <w:t xml:space="preserve"> da Cláusula Sexta</w:t>
      </w:r>
      <w:r w:rsidR="00C911D6">
        <w:t xml:space="preserve"> do Anexo II</w:t>
      </w:r>
      <w:r>
        <w:t xml:space="preserve"> </w:t>
      </w:r>
      <w:r w:rsidR="00C911D6">
        <w:rPr>
          <w:bCs/>
        </w:rPr>
        <w:t>preveem</w:t>
      </w:r>
      <w:r>
        <w:rPr>
          <w:bCs/>
        </w:rPr>
        <w:t xml:space="preserve"> que </w:t>
      </w:r>
      <w:r w:rsidRPr="00B26D0D">
        <w:rPr>
          <w:bCs/>
          <w:i/>
        </w:rPr>
        <w:t>“durante o período em que o aparelho originalmente fornecido estiver em reparo, deverá ser habilitado outro com o mesmo número do utilizado no prazo máximo de 24 (vinte e quatro) horas, de forma que não haja interrupção de serviço</w:t>
      </w:r>
      <w:r>
        <w:rPr>
          <w:bCs/>
          <w:i/>
        </w:rPr>
        <w:t>”.</w:t>
      </w:r>
    </w:p>
    <w:p w:rsidR="00B26D0D" w:rsidRPr="00A96C34" w:rsidRDefault="00B26D0D" w:rsidP="00B26D0D">
      <w:pPr>
        <w:pStyle w:val="PPC"/>
      </w:pPr>
    </w:p>
    <w:p w:rsidR="00B26D0D" w:rsidRPr="00A96C34" w:rsidRDefault="00B26D0D" w:rsidP="00B26D0D">
      <w:pPr>
        <w:pStyle w:val="PPC"/>
        <w:rPr>
          <w:b/>
        </w:rPr>
      </w:pPr>
      <w:r w:rsidRPr="00A96C34">
        <w:t>Todavia,</w:t>
      </w:r>
      <w:r w:rsidR="006528E8" w:rsidRPr="006528E8">
        <w:t xml:space="preserve"> </w:t>
      </w:r>
      <w:r w:rsidR="006528E8">
        <w:t>a HABILITAÇÃO</w:t>
      </w:r>
      <w:r w:rsidR="006528E8" w:rsidRPr="006528E8">
        <w:t xml:space="preserve"> ocorre no </w:t>
      </w:r>
      <w:proofErr w:type="spellStart"/>
      <w:r w:rsidR="006528E8" w:rsidRPr="006528E8">
        <w:t>simcard</w:t>
      </w:r>
      <w:proofErr w:type="spellEnd"/>
      <w:r w:rsidR="006528E8" w:rsidRPr="006528E8">
        <w:t xml:space="preserve"> e não no aparelho</w:t>
      </w:r>
      <w:r w:rsidRPr="00A96C34">
        <w:t>. Neste contexto, considerada a pretensão administrativ</w:t>
      </w:r>
      <w:r>
        <w:t>a</w:t>
      </w:r>
      <w:r w:rsidRPr="00A96C34">
        <w:t xml:space="preserve"> em relação aos aparelhos reservas indicados como meio para prestação do serviço, </w:t>
      </w:r>
      <w:r w:rsidRPr="00A96C34">
        <w:rPr>
          <w:b/>
        </w:rPr>
        <w:t xml:space="preserve">deve ser incluído no edital </w:t>
      </w:r>
      <w:r w:rsidRPr="00A96C34">
        <w:t xml:space="preserve">(bem como em planilha de preços), </w:t>
      </w:r>
      <w:r w:rsidRPr="00A96C34">
        <w:rPr>
          <w:b/>
        </w:rPr>
        <w:t>solicitação de aparelhos Backup sem linhas ativas</w:t>
      </w:r>
      <w:r w:rsidRPr="00A96C34">
        <w:t xml:space="preserve">, </w:t>
      </w:r>
      <w:r w:rsidR="006528E8">
        <w:t xml:space="preserve">na ordem de 5% (cinco por cento) </w:t>
      </w:r>
      <w:r w:rsidRPr="00A96C34">
        <w:t>adicionalmente aos demais itens lá indicados.</w:t>
      </w:r>
    </w:p>
    <w:p w:rsidR="009743B0" w:rsidRDefault="009743B0" w:rsidP="00F36050">
      <w:pPr>
        <w:ind w:firstLine="0"/>
        <w:outlineLvl w:val="0"/>
      </w:pPr>
    </w:p>
    <w:p w:rsidR="000B2C50" w:rsidRDefault="000B2C50" w:rsidP="000B2C50">
      <w:pPr>
        <w:pStyle w:val="Ttulo"/>
      </w:pPr>
      <w:r>
        <w:t xml:space="preserve">13. ESCLARECIMENTO QUANTO AO </w:t>
      </w:r>
      <w:r w:rsidRPr="00087E58">
        <w:t>REEMB</w:t>
      </w:r>
      <w:r>
        <w:t>OLSO PELO VALOR DA NOTA FISCAL.</w:t>
      </w:r>
    </w:p>
    <w:p w:rsidR="000B2C50" w:rsidRDefault="000B2C50" w:rsidP="000B2C50"/>
    <w:p w:rsidR="000B2C50" w:rsidRPr="00CD74E4" w:rsidRDefault="000B2C50" w:rsidP="000B2C50">
      <w:pPr>
        <w:rPr>
          <w:color w:val="auto"/>
          <w:szCs w:val="24"/>
        </w:rPr>
      </w:pPr>
      <w:r w:rsidRPr="00CD74E4">
        <w:rPr>
          <w:color w:val="auto"/>
          <w:szCs w:val="24"/>
        </w:rPr>
        <w:lastRenderedPageBreak/>
        <w:t xml:space="preserve">O item 12.1, alínea ‘u’ do Anexo I </w:t>
      </w:r>
      <w:r w:rsidR="00011367">
        <w:rPr>
          <w:color w:val="auto"/>
          <w:szCs w:val="24"/>
        </w:rPr>
        <w:t xml:space="preserve">e alínea t da Cláusula Sexta do Anexo II </w:t>
      </w:r>
      <w:r w:rsidRPr="00CD74E4">
        <w:rPr>
          <w:color w:val="auto"/>
          <w:szCs w:val="24"/>
        </w:rPr>
        <w:t>dispõe</w:t>
      </w:r>
      <w:r w:rsidR="00011367">
        <w:rPr>
          <w:color w:val="auto"/>
          <w:szCs w:val="24"/>
        </w:rPr>
        <w:t>m</w:t>
      </w:r>
      <w:r w:rsidRPr="00CD74E4">
        <w:rPr>
          <w:color w:val="auto"/>
          <w:szCs w:val="24"/>
        </w:rPr>
        <w:t xml:space="preserve"> acerca do valor de reembolso a contratada nos casos de</w:t>
      </w:r>
      <w:r w:rsidRPr="00CD74E4">
        <w:rPr>
          <w:color w:val="auto"/>
        </w:rPr>
        <w:t xml:space="preserve"> </w:t>
      </w:r>
      <w:r w:rsidRPr="00CD74E4">
        <w:rPr>
          <w:color w:val="auto"/>
          <w:szCs w:val="24"/>
        </w:rPr>
        <w:t>defeito ocasionado por mau uso</w:t>
      </w:r>
      <w:r w:rsidR="00CD74E4" w:rsidRPr="00CD74E4">
        <w:rPr>
          <w:color w:val="auto"/>
          <w:szCs w:val="24"/>
        </w:rPr>
        <w:t>:</w:t>
      </w:r>
    </w:p>
    <w:p w:rsidR="000B2C50" w:rsidRPr="00CD74E4" w:rsidRDefault="000B2C50" w:rsidP="000B2C50">
      <w:pPr>
        <w:rPr>
          <w:color w:val="auto"/>
          <w:szCs w:val="24"/>
        </w:rPr>
      </w:pPr>
    </w:p>
    <w:p w:rsidR="00CD74E4" w:rsidRPr="00CD74E4" w:rsidRDefault="00CD74E4" w:rsidP="00CD74E4">
      <w:pPr>
        <w:ind w:left="1418" w:firstLine="0"/>
        <w:rPr>
          <w:i/>
          <w:color w:val="auto"/>
          <w:sz w:val="20"/>
        </w:rPr>
      </w:pPr>
      <w:r w:rsidRPr="00CD74E4">
        <w:rPr>
          <w:i/>
          <w:color w:val="auto"/>
          <w:sz w:val="20"/>
        </w:rPr>
        <w:t>u)</w:t>
      </w:r>
      <w:r w:rsidRPr="00CD74E4">
        <w:rPr>
          <w:color w:val="auto"/>
        </w:rPr>
        <w:t xml:space="preserve"> </w:t>
      </w:r>
      <w:r w:rsidRPr="00CD74E4">
        <w:rPr>
          <w:i/>
          <w:color w:val="auto"/>
          <w:sz w:val="20"/>
        </w:rPr>
        <w:t>se comprovado, por ambas as partes, que o defeito não foi ocasionado por mau uso, o reparo ou a substituição do aparelho não pode representar nenhum ônus para o CRN-2, caso contrário, o reparo ou substituição do aparelho correrá por conta do CRN-2, cujo valor deverá ser compatível com o preço no mercado</w:t>
      </w:r>
    </w:p>
    <w:p w:rsidR="000B2C50" w:rsidRDefault="000B2C50" w:rsidP="000B2C50">
      <w:pPr>
        <w:rPr>
          <w:color w:val="auto"/>
          <w:szCs w:val="24"/>
        </w:rPr>
      </w:pPr>
    </w:p>
    <w:p w:rsidR="000B2C50" w:rsidRPr="00EB0FD3" w:rsidRDefault="000B2C50" w:rsidP="00CD74E4">
      <w:pPr>
        <w:rPr>
          <w:i/>
        </w:rPr>
      </w:pPr>
      <w:r w:rsidRPr="00BB115E">
        <w:t>O regime d</w:t>
      </w:r>
      <w:r>
        <w:t xml:space="preserve">e comodato implica necessariamente </w:t>
      </w:r>
      <w:r w:rsidRPr="00BB115E">
        <w:t xml:space="preserve">na </w:t>
      </w:r>
      <w:r w:rsidRPr="00A67462">
        <w:rPr>
          <w:b/>
        </w:rPr>
        <w:t>manutenção da propriedade</w:t>
      </w:r>
      <w:r>
        <w:t xml:space="preserve"> do bem pela comodante</w:t>
      </w:r>
      <w:r w:rsidRPr="00BB115E">
        <w:t xml:space="preserve"> e pelo </w:t>
      </w:r>
      <w:r w:rsidRPr="00A67462">
        <w:rPr>
          <w:b/>
        </w:rPr>
        <w:t>dever de guarda e conservação</w:t>
      </w:r>
      <w:r>
        <w:t xml:space="preserve"> do mesmo pelo comodatário. </w:t>
      </w:r>
    </w:p>
    <w:p w:rsidR="000B2C50" w:rsidRDefault="000B2C50" w:rsidP="000B2C50"/>
    <w:p w:rsidR="000B2C50" w:rsidRPr="00087E58" w:rsidRDefault="000B2C50" w:rsidP="000B2C50">
      <w:pPr>
        <w:rPr>
          <w:b/>
          <w:u w:val="single"/>
        </w:rPr>
      </w:pPr>
      <w:r w:rsidRPr="00087E58">
        <w:t xml:space="preserve">Destarte, quanto ao preço dos aparelhos, verifica-se que a fórmula adotada no edital não pode subsistir. O valor a ser reembolsado deve ser o </w:t>
      </w:r>
      <w:r w:rsidRPr="00D8477A">
        <w:rPr>
          <w:b/>
        </w:rPr>
        <w:t>valor real do aparelho</w:t>
      </w:r>
      <w:r w:rsidR="00CD74E4">
        <w:t xml:space="preserve">, </w:t>
      </w:r>
      <w:r w:rsidR="00CD74E4" w:rsidRPr="00CD74E4">
        <w:t>com a devida depreciação em função do tempo de utilização</w:t>
      </w:r>
      <w:r w:rsidR="00CD74E4">
        <w:t xml:space="preserve">. </w:t>
      </w:r>
      <w:r w:rsidRPr="00087E58">
        <w:rPr>
          <w:b/>
          <w:u w:val="single"/>
        </w:rPr>
        <w:t>Este valor é aquele constante da nota fiscal do aparelho.</w:t>
      </w:r>
    </w:p>
    <w:p w:rsidR="000B2C50" w:rsidRDefault="000B2C50" w:rsidP="00CF16B2">
      <w:pPr>
        <w:ind w:firstLine="0"/>
      </w:pPr>
    </w:p>
    <w:p w:rsidR="000B2C50" w:rsidRPr="005D07ED" w:rsidRDefault="000B2C50" w:rsidP="000B2C50">
      <w:pPr>
        <w:rPr>
          <w:b/>
        </w:rPr>
      </w:pPr>
      <w:r w:rsidRPr="00087E58">
        <w:t xml:space="preserve">Assim sendo, requer-se a alteração do dispositivo mencionado </w:t>
      </w:r>
      <w:r w:rsidRPr="00976164">
        <w:t>supra para</w:t>
      </w:r>
      <w:r w:rsidR="00CF16B2">
        <w:t xml:space="preserve"> prever a indenização dos</w:t>
      </w:r>
      <w:r w:rsidRPr="00087E58">
        <w:t xml:space="preserve"> equipamentos </w:t>
      </w:r>
      <w:r w:rsidRPr="00087E58">
        <w:rPr>
          <w:b/>
        </w:rPr>
        <w:t xml:space="preserve">no valor da </w:t>
      </w:r>
      <w:r>
        <w:rPr>
          <w:b/>
        </w:rPr>
        <w:t xml:space="preserve">respectiva </w:t>
      </w:r>
      <w:r w:rsidRPr="00087E58">
        <w:rPr>
          <w:b/>
        </w:rPr>
        <w:t>nota fiscal</w:t>
      </w:r>
      <w:r w:rsidR="00CF16B2">
        <w:rPr>
          <w:b/>
        </w:rPr>
        <w:t xml:space="preserve">, </w:t>
      </w:r>
      <w:r w:rsidR="00CF16B2" w:rsidRPr="00CF16B2">
        <w:rPr>
          <w:b/>
        </w:rPr>
        <w:t>com a devida depreciação em função do tempo de utilização</w:t>
      </w:r>
      <w:r w:rsidR="00CF16B2">
        <w:rPr>
          <w:b/>
        </w:rPr>
        <w:t>.</w:t>
      </w:r>
    </w:p>
    <w:p w:rsidR="000B2C50" w:rsidRDefault="000B2C50" w:rsidP="00F36050">
      <w:pPr>
        <w:ind w:firstLine="0"/>
        <w:outlineLvl w:val="0"/>
      </w:pPr>
    </w:p>
    <w:p w:rsidR="008B011B" w:rsidRPr="007F1E06" w:rsidRDefault="008B011B" w:rsidP="008B011B">
      <w:pPr>
        <w:ind w:firstLine="0"/>
        <w:rPr>
          <w:b/>
          <w:snapToGrid w:val="0"/>
          <w:u w:val="single"/>
        </w:rPr>
      </w:pPr>
      <w:r>
        <w:rPr>
          <w:b/>
          <w:snapToGrid w:val="0"/>
          <w:u w:val="single"/>
        </w:rPr>
        <w:t xml:space="preserve">14. </w:t>
      </w:r>
      <w:r w:rsidRPr="007F1E06">
        <w:rPr>
          <w:b/>
          <w:snapToGrid w:val="0"/>
          <w:u w:val="single"/>
        </w:rPr>
        <w:t>PRAZO EXÍGUO PARA ATENDIMENTO DAS SOLICITAÇÕES DE SERVIÇOS.</w:t>
      </w:r>
    </w:p>
    <w:p w:rsidR="008B011B" w:rsidRPr="007F1E06" w:rsidRDefault="008B011B" w:rsidP="008B011B">
      <w:pPr>
        <w:rPr>
          <w:snapToGrid w:val="0"/>
        </w:rPr>
      </w:pPr>
    </w:p>
    <w:p w:rsidR="008B011B" w:rsidRDefault="00973F13" w:rsidP="008B011B">
      <w:pPr>
        <w:rPr>
          <w:snapToGrid w:val="0"/>
          <w:color w:val="auto"/>
        </w:rPr>
      </w:pPr>
      <w:r>
        <w:rPr>
          <w:snapToGrid w:val="0"/>
          <w:color w:val="auto"/>
        </w:rPr>
        <w:t>O item 12.1, alínea ‘y’</w:t>
      </w:r>
      <w:r w:rsidR="008B011B" w:rsidRPr="00B9325F">
        <w:rPr>
          <w:snapToGrid w:val="0"/>
          <w:color w:val="auto"/>
        </w:rPr>
        <w:t xml:space="preserve"> do Anexo I </w:t>
      </w:r>
      <w:r w:rsidR="008836E2">
        <w:rPr>
          <w:snapToGrid w:val="0"/>
          <w:color w:val="auto"/>
        </w:rPr>
        <w:t xml:space="preserve">e Cláusula Sexta, alínea ‘y’ do Anexo II </w:t>
      </w:r>
      <w:r w:rsidR="008B011B" w:rsidRPr="00B9325F">
        <w:rPr>
          <w:snapToGrid w:val="0"/>
          <w:color w:val="auto"/>
        </w:rPr>
        <w:t>estabelece</w:t>
      </w:r>
      <w:r w:rsidR="008836E2">
        <w:rPr>
          <w:snapToGrid w:val="0"/>
          <w:color w:val="auto"/>
        </w:rPr>
        <w:t>m</w:t>
      </w:r>
      <w:r w:rsidR="008B011B" w:rsidRPr="00B9325F">
        <w:rPr>
          <w:snapToGrid w:val="0"/>
          <w:color w:val="auto"/>
        </w:rPr>
        <w:t xml:space="preserve"> um prazo para</w:t>
      </w:r>
      <w:r w:rsidR="008B011B" w:rsidRPr="00B9325F">
        <w:rPr>
          <w:color w:val="auto"/>
        </w:rPr>
        <w:t xml:space="preserve"> </w:t>
      </w:r>
      <w:r w:rsidR="008B011B" w:rsidRPr="00B9325F">
        <w:rPr>
          <w:snapToGrid w:val="0"/>
          <w:color w:val="auto"/>
        </w:rPr>
        <w:t>atendimento das s</w:t>
      </w:r>
      <w:r w:rsidR="008B011B">
        <w:rPr>
          <w:snapToGrid w:val="0"/>
          <w:color w:val="auto"/>
        </w:rPr>
        <w:t>olicitações de reparo</w:t>
      </w:r>
      <w:r w:rsidR="008B011B" w:rsidRPr="00B9325F">
        <w:rPr>
          <w:snapToGrid w:val="0"/>
          <w:color w:val="auto"/>
        </w:rPr>
        <w:t xml:space="preserve"> de </w:t>
      </w:r>
      <w:r w:rsidRPr="00973F13">
        <w:rPr>
          <w:snapToGrid w:val="0"/>
          <w:color w:val="auto"/>
        </w:rPr>
        <w:t xml:space="preserve">no prazo máximo de 06 (seis) horas, após </w:t>
      </w:r>
      <w:r>
        <w:rPr>
          <w:snapToGrid w:val="0"/>
          <w:color w:val="auto"/>
        </w:rPr>
        <w:t>notificado, qualquer ocorrência</w:t>
      </w:r>
      <w:r w:rsidRPr="00973F13">
        <w:rPr>
          <w:snapToGrid w:val="0"/>
          <w:color w:val="auto"/>
        </w:rPr>
        <w:t xml:space="preserve"> de interrupção na prestação dos serviços contratados, salvo por problemas de maior vulto, devidamente justificados e aceitos pelo Contratante</w:t>
      </w:r>
      <w:r>
        <w:rPr>
          <w:snapToGrid w:val="0"/>
          <w:color w:val="auto"/>
        </w:rPr>
        <w:t>.</w:t>
      </w:r>
    </w:p>
    <w:p w:rsidR="00973F13" w:rsidRPr="007F1E06" w:rsidRDefault="00973F13" w:rsidP="008B011B">
      <w:pPr>
        <w:rPr>
          <w:snapToGrid w:val="0"/>
        </w:rPr>
      </w:pPr>
    </w:p>
    <w:p w:rsidR="008B011B" w:rsidRPr="007F1E06" w:rsidRDefault="008B011B" w:rsidP="008B011B">
      <w:pPr>
        <w:rPr>
          <w:snapToGrid w:val="0"/>
        </w:rPr>
      </w:pPr>
      <w:r w:rsidRPr="007F1E06">
        <w:rPr>
          <w:snapToGrid w:val="0"/>
        </w:rPr>
        <w:t xml:space="preserve">De fato, </w:t>
      </w:r>
      <w:r w:rsidRPr="007F1E06">
        <w:rPr>
          <w:b/>
          <w:snapToGrid w:val="0"/>
        </w:rPr>
        <w:t xml:space="preserve">um prazo de </w:t>
      </w:r>
      <w:r w:rsidRPr="00057475">
        <w:rPr>
          <w:b/>
          <w:snapToGrid w:val="0"/>
          <w:color w:val="auto"/>
        </w:rPr>
        <w:t xml:space="preserve">apenas </w:t>
      </w:r>
      <w:r w:rsidR="00973F13">
        <w:rPr>
          <w:b/>
          <w:snapToGrid w:val="0"/>
          <w:color w:val="auto"/>
        </w:rPr>
        <w:t>06</w:t>
      </w:r>
      <w:r w:rsidRPr="00057475">
        <w:rPr>
          <w:rFonts w:ascii="Arial (W1)" w:hAnsi="Arial (W1)"/>
          <w:b/>
          <w:snapToGrid w:val="0"/>
          <w:color w:val="auto"/>
        </w:rPr>
        <w:t xml:space="preserve"> (</w:t>
      </w:r>
      <w:r w:rsidR="00973F13">
        <w:rPr>
          <w:rFonts w:ascii="Arial (W1)" w:hAnsi="Arial (W1)"/>
          <w:b/>
          <w:snapToGrid w:val="0"/>
          <w:color w:val="auto"/>
        </w:rPr>
        <w:t>seis</w:t>
      </w:r>
      <w:r w:rsidRPr="00057475">
        <w:rPr>
          <w:rFonts w:ascii="Arial (W1)" w:hAnsi="Arial (W1)"/>
          <w:b/>
          <w:snapToGrid w:val="0"/>
          <w:color w:val="auto"/>
        </w:rPr>
        <w:t>) horas</w:t>
      </w:r>
      <w:r w:rsidRPr="00057475">
        <w:rPr>
          <w:b/>
          <w:snapToGrid w:val="0"/>
          <w:color w:val="auto"/>
        </w:rPr>
        <w:t xml:space="preserve"> é </w:t>
      </w:r>
      <w:r w:rsidRPr="007F1E06">
        <w:rPr>
          <w:b/>
          <w:snapToGrid w:val="0"/>
        </w:rPr>
        <w:t>INSUFICIENTE para finalização dos reparos ou correção de falhas por ventura existentes</w:t>
      </w:r>
      <w:r w:rsidRPr="007F1E06">
        <w:rPr>
          <w:snapToGrid w:val="0"/>
        </w:rPr>
        <w:t>, especialmente pelo fato de que a complexidade da questão pode exigir um prazo maior para que a questão seja solucionada.</w:t>
      </w:r>
    </w:p>
    <w:p w:rsidR="008B011B" w:rsidRPr="007F1E06" w:rsidRDefault="008B011B" w:rsidP="00040E5A">
      <w:pPr>
        <w:ind w:firstLine="0"/>
        <w:rPr>
          <w:snapToGrid w:val="0"/>
        </w:rPr>
      </w:pPr>
    </w:p>
    <w:p w:rsidR="008B011B" w:rsidRPr="007F1E06" w:rsidRDefault="008B011B" w:rsidP="008B011B">
      <w:pPr>
        <w:rPr>
          <w:snapToGrid w:val="0"/>
        </w:rPr>
      </w:pPr>
      <w:r w:rsidRPr="007F1E06">
        <w:rPr>
          <w:snapToGrid w:val="0"/>
        </w:rPr>
        <w:t xml:space="preserve">O prejuízo para a Administração Pública em se manter este curto prazo para reparos ou correção de falhas é imenso, dado que inviabilizaria a </w:t>
      </w:r>
      <w:r w:rsidRPr="007F1E06">
        <w:rPr>
          <w:snapToGrid w:val="0"/>
        </w:rPr>
        <w:lastRenderedPageBreak/>
        <w:t xml:space="preserve">participação das concorrentes, em função de não ser possível cumprir o lapso de tempo indicado no edital. </w:t>
      </w:r>
    </w:p>
    <w:p w:rsidR="008B011B" w:rsidRDefault="008B011B" w:rsidP="00973F13">
      <w:pPr>
        <w:ind w:firstLine="0"/>
        <w:rPr>
          <w:snapToGrid w:val="0"/>
        </w:rPr>
      </w:pPr>
    </w:p>
    <w:p w:rsidR="008B011B" w:rsidRPr="007F1E06" w:rsidRDefault="008B011B" w:rsidP="008B011B">
      <w:pPr>
        <w:rPr>
          <w:snapToGrid w:val="0"/>
        </w:rPr>
      </w:pPr>
      <w:r w:rsidRPr="007F1E06">
        <w:rPr>
          <w:snapToGrid w:val="0"/>
        </w:rPr>
        <w:t>Destarte</w:t>
      </w:r>
      <w:r>
        <w:rPr>
          <w:snapToGrid w:val="0"/>
        </w:rPr>
        <w:t>,</w:t>
      </w:r>
      <w:r w:rsidRPr="007F1E06">
        <w:rPr>
          <w:snapToGrid w:val="0"/>
        </w:rPr>
        <w:t xml:space="preserve"> é fundamental ressaltar que </w:t>
      </w:r>
      <w:r>
        <w:rPr>
          <w:snapToGrid w:val="0"/>
        </w:rPr>
        <w:t>as Operadoras são</w:t>
      </w:r>
      <w:r w:rsidRPr="00E81541">
        <w:rPr>
          <w:snapToGrid w:val="0"/>
        </w:rPr>
        <w:t xml:space="preserve"> regulamentada</w:t>
      </w:r>
      <w:r>
        <w:rPr>
          <w:snapToGrid w:val="0"/>
        </w:rPr>
        <w:t>s</w:t>
      </w:r>
      <w:r w:rsidRPr="00E81541">
        <w:rPr>
          <w:snapToGrid w:val="0"/>
        </w:rPr>
        <w:t xml:space="preserve"> pelos padrões e normas da ANATEL quanto à qualidade e disponibilidade do serviço de telefonia móvel, atendendo às especificações e indicadores exigidos pela agência reguladora.</w:t>
      </w:r>
    </w:p>
    <w:p w:rsidR="008B011B" w:rsidRPr="007F1E06" w:rsidRDefault="008B011B" w:rsidP="008B011B">
      <w:pPr>
        <w:rPr>
          <w:snapToGrid w:val="0"/>
        </w:rPr>
      </w:pPr>
    </w:p>
    <w:p w:rsidR="008B011B" w:rsidRPr="007F1E06" w:rsidRDefault="008B011B" w:rsidP="008B011B">
      <w:pPr>
        <w:rPr>
          <w:snapToGrid w:val="0"/>
        </w:rPr>
      </w:pPr>
      <w:r w:rsidRPr="007F1E06">
        <w:rPr>
          <w:snapToGrid w:val="0"/>
        </w:rPr>
        <w:t>Vale ressaltar que o não cumprimento do</w:t>
      </w:r>
      <w:r>
        <w:rPr>
          <w:snapToGrid w:val="0"/>
        </w:rPr>
        <w:t>s</w:t>
      </w:r>
      <w:r w:rsidRPr="007F1E06">
        <w:rPr>
          <w:snapToGrid w:val="0"/>
        </w:rPr>
        <w:t xml:space="preserve"> prazo</w:t>
      </w:r>
      <w:r>
        <w:rPr>
          <w:snapToGrid w:val="0"/>
        </w:rPr>
        <w:t>s</w:t>
      </w:r>
      <w:r w:rsidRPr="007F1E06">
        <w:rPr>
          <w:snapToGrid w:val="0"/>
        </w:rPr>
        <w:t xml:space="preserve"> de atendimento</w:t>
      </w:r>
      <w:r>
        <w:rPr>
          <w:snapToGrid w:val="0"/>
        </w:rPr>
        <w:t>s</w:t>
      </w:r>
      <w:r w:rsidRPr="007F1E06">
        <w:rPr>
          <w:snapToGrid w:val="0"/>
        </w:rPr>
        <w:t xml:space="preserve"> das solicitações induz a aplicação das penalidades contratuais, situação esta que determinaria a opção da operadora por sequer participar da licitação, com restrição da competitividade em função deste fato. Tal restrição à competitividade é absolutamente ilegal.</w:t>
      </w:r>
    </w:p>
    <w:p w:rsidR="00040E5A" w:rsidRDefault="00040E5A" w:rsidP="00F36050">
      <w:pPr>
        <w:ind w:firstLine="0"/>
        <w:outlineLvl w:val="0"/>
      </w:pPr>
    </w:p>
    <w:p w:rsidR="00151AF9" w:rsidRDefault="008B011B" w:rsidP="00151AF9">
      <w:pPr>
        <w:pStyle w:val="Ttulo"/>
      </w:pPr>
      <w:r>
        <w:rPr>
          <w:rFonts w:eastAsia="Times New Roman"/>
          <w:snapToGrid w:val="0"/>
          <w:color w:val="auto"/>
          <w:lang w:eastAsia="pt-BR"/>
        </w:rPr>
        <w:t>15</w:t>
      </w:r>
      <w:r w:rsidR="00151AF9" w:rsidRPr="00151AF9">
        <w:rPr>
          <w:rFonts w:eastAsia="Times New Roman"/>
          <w:snapToGrid w:val="0"/>
          <w:color w:val="auto"/>
          <w:lang w:eastAsia="pt-BR"/>
        </w:rPr>
        <w:t xml:space="preserve">. </w:t>
      </w:r>
      <w:r w:rsidR="00151AF9" w:rsidRPr="00151AF9">
        <w:t>REPONSABILIDADE</w:t>
      </w:r>
      <w:r w:rsidR="00151AF9">
        <w:t xml:space="preserve"> NOS CASOS DE PERDA, ROUBO OU FURTO DE EQUIPAMENTOS. </w:t>
      </w:r>
      <w:r w:rsidR="00151AF9" w:rsidRPr="006219D6">
        <w:t>IMPUTAÇÃO INTEGRAL À CONTRATANTE.</w:t>
      </w:r>
      <w:r w:rsidR="00151AF9">
        <w:t xml:space="preserve"> ESCLARECIMENTO QUANTO AO </w:t>
      </w:r>
      <w:r w:rsidR="00151AF9" w:rsidRPr="00087E58">
        <w:t>REEMB</w:t>
      </w:r>
      <w:r w:rsidR="00151AF9">
        <w:t>OLSO PELO VALOR DA NOTA FISCAL.</w:t>
      </w:r>
    </w:p>
    <w:p w:rsidR="00151AF9" w:rsidRDefault="00151AF9" w:rsidP="00151AF9"/>
    <w:p w:rsidR="00151AF9" w:rsidRPr="00451B89" w:rsidRDefault="00151AF9" w:rsidP="00151AF9">
      <w:pPr>
        <w:rPr>
          <w:color w:val="auto"/>
          <w:szCs w:val="24"/>
        </w:rPr>
      </w:pPr>
      <w:r w:rsidRPr="00451B89">
        <w:rPr>
          <w:color w:val="auto"/>
          <w:szCs w:val="24"/>
        </w:rPr>
        <w:t xml:space="preserve">O </w:t>
      </w:r>
      <w:r w:rsidR="00451B89" w:rsidRPr="00451B89">
        <w:rPr>
          <w:color w:val="auto"/>
          <w:szCs w:val="24"/>
        </w:rPr>
        <w:t>item 12.1, alínea ‘w’</w:t>
      </w:r>
      <w:r w:rsidRPr="00451B89">
        <w:rPr>
          <w:color w:val="auto"/>
          <w:szCs w:val="24"/>
        </w:rPr>
        <w:t xml:space="preserve"> do</w:t>
      </w:r>
      <w:r w:rsidR="00451B89" w:rsidRPr="00451B89">
        <w:rPr>
          <w:color w:val="auto"/>
          <w:szCs w:val="24"/>
        </w:rPr>
        <w:t xml:space="preserve"> Anexo I </w:t>
      </w:r>
      <w:r w:rsidR="003D041D">
        <w:rPr>
          <w:color w:val="auto"/>
          <w:szCs w:val="24"/>
        </w:rPr>
        <w:t xml:space="preserve">e alínea ‘w’ da Cláusula Sexta da Minuta do Contrato </w:t>
      </w:r>
      <w:r w:rsidRPr="00451B89">
        <w:rPr>
          <w:color w:val="auto"/>
          <w:szCs w:val="24"/>
        </w:rPr>
        <w:t>dispõe</w:t>
      </w:r>
      <w:r w:rsidR="003D041D">
        <w:rPr>
          <w:color w:val="auto"/>
          <w:szCs w:val="24"/>
        </w:rPr>
        <w:t>m</w:t>
      </w:r>
      <w:r w:rsidRPr="00451B89">
        <w:rPr>
          <w:color w:val="auto"/>
          <w:szCs w:val="24"/>
        </w:rPr>
        <w:t xml:space="preserve"> acerca do valor de reembolso a contratada nos casos de aparelhos furtados, perdidos ou roubados, estabelecendo o seguinte:</w:t>
      </w:r>
    </w:p>
    <w:p w:rsidR="00151AF9" w:rsidRPr="00451B89" w:rsidRDefault="00151AF9" w:rsidP="00151AF9">
      <w:pPr>
        <w:rPr>
          <w:color w:val="auto"/>
          <w:szCs w:val="24"/>
        </w:rPr>
      </w:pPr>
    </w:p>
    <w:p w:rsidR="00151AF9" w:rsidRPr="00451B89" w:rsidRDefault="00451B89" w:rsidP="00151AF9">
      <w:pPr>
        <w:ind w:left="1418" w:firstLine="0"/>
        <w:rPr>
          <w:i/>
          <w:color w:val="auto"/>
          <w:sz w:val="20"/>
        </w:rPr>
      </w:pPr>
      <w:r w:rsidRPr="00451B89">
        <w:rPr>
          <w:i/>
          <w:color w:val="auto"/>
          <w:sz w:val="20"/>
        </w:rPr>
        <w:t>w) efetuar a substituição de quaisquer dos equipamentos oferecidos ao CRN-2, sem ônus,</w:t>
      </w:r>
      <w:proofErr w:type="gramStart"/>
      <w:r w:rsidRPr="00451B89">
        <w:rPr>
          <w:i/>
          <w:color w:val="auto"/>
          <w:sz w:val="20"/>
        </w:rPr>
        <w:t xml:space="preserve">  </w:t>
      </w:r>
      <w:proofErr w:type="gramEnd"/>
      <w:r w:rsidRPr="00451B89">
        <w:rPr>
          <w:i/>
          <w:color w:val="auto"/>
          <w:sz w:val="20"/>
        </w:rPr>
        <w:t>em caso de roubo ou furto, mediante a apresentação do correspondente Boletim de Ocorrência Policial;</w:t>
      </w:r>
    </w:p>
    <w:p w:rsidR="00151AF9" w:rsidRPr="00451B89" w:rsidRDefault="00151AF9" w:rsidP="00151AF9">
      <w:pPr>
        <w:rPr>
          <w:color w:val="auto"/>
          <w:szCs w:val="24"/>
        </w:rPr>
      </w:pPr>
    </w:p>
    <w:p w:rsidR="00151AF9" w:rsidRDefault="00151AF9" w:rsidP="00151AF9">
      <w:r w:rsidRPr="00BB115E">
        <w:t>O regime d</w:t>
      </w:r>
      <w:r>
        <w:t xml:space="preserve">e comodato implica necessariamente </w:t>
      </w:r>
      <w:r w:rsidRPr="00BB115E">
        <w:t xml:space="preserve">na </w:t>
      </w:r>
      <w:r w:rsidRPr="00A67462">
        <w:rPr>
          <w:b/>
        </w:rPr>
        <w:t>manutenção da propriedade</w:t>
      </w:r>
      <w:r>
        <w:t xml:space="preserve"> do bem pela comodante</w:t>
      </w:r>
      <w:r w:rsidRPr="00BB115E">
        <w:t xml:space="preserve"> e pelo </w:t>
      </w:r>
      <w:r w:rsidRPr="00A67462">
        <w:rPr>
          <w:b/>
        </w:rPr>
        <w:t>dever de guarda e conservação</w:t>
      </w:r>
      <w:r>
        <w:t xml:space="preserve"> do mesmo pelo comodatário. Veja-se o regramento que o Código Civil dá ao instituto:</w:t>
      </w:r>
    </w:p>
    <w:p w:rsidR="00151AF9" w:rsidRDefault="00151AF9" w:rsidP="00151AF9"/>
    <w:p w:rsidR="00151AF9" w:rsidRPr="00EC0341" w:rsidRDefault="00151AF9" w:rsidP="00151AF9">
      <w:pPr>
        <w:pStyle w:val="Citao"/>
        <w:spacing w:line="288" w:lineRule="auto"/>
      </w:pPr>
      <w:r w:rsidRPr="00EC0341">
        <w:t xml:space="preserve">Art. 579. O comodato é o empréstimo gratuito de </w:t>
      </w:r>
      <w:r w:rsidRPr="00EC0341">
        <w:rPr>
          <w:b/>
        </w:rPr>
        <w:t>coisas não fungíveis</w:t>
      </w:r>
      <w:r w:rsidRPr="00EC0341">
        <w:t>. Perfaz-se com a tradição do objeto.</w:t>
      </w:r>
    </w:p>
    <w:p w:rsidR="00151AF9" w:rsidRPr="00EC0341" w:rsidRDefault="00151AF9" w:rsidP="00151AF9">
      <w:pPr>
        <w:pStyle w:val="Citao"/>
        <w:spacing w:line="288" w:lineRule="auto"/>
      </w:pPr>
      <w:r>
        <w:t>(...)</w:t>
      </w:r>
    </w:p>
    <w:p w:rsidR="00151AF9" w:rsidRPr="00EC0341" w:rsidRDefault="00151AF9" w:rsidP="00151AF9">
      <w:pPr>
        <w:pStyle w:val="Citao"/>
        <w:spacing w:line="288" w:lineRule="auto"/>
      </w:pPr>
      <w:r w:rsidRPr="00EC0341">
        <w:t xml:space="preserve">Art. 581. Se o comodato não tiver prazo convencional, </w:t>
      </w:r>
      <w:proofErr w:type="spellStart"/>
      <w:r w:rsidRPr="00EC0341">
        <w:t>presumir-se-lhe-á</w:t>
      </w:r>
      <w:proofErr w:type="spellEnd"/>
      <w:r w:rsidRPr="00EC0341">
        <w:t xml:space="preserve"> o necessário para o uso concedido; não podendo o comodante, salvo necessidade imprevista e urgente, reconhecida pelo juiz, suspender o uso e gozo da coisa emprestada, antes de findo o prazo convencional, ou o que se determine pelo uso outorgado.</w:t>
      </w:r>
    </w:p>
    <w:p w:rsidR="00151AF9" w:rsidRPr="0015119E" w:rsidRDefault="00151AF9" w:rsidP="00151AF9">
      <w:pPr>
        <w:pStyle w:val="Citao"/>
        <w:spacing w:line="288" w:lineRule="auto"/>
      </w:pPr>
      <w:r w:rsidRPr="00EC0341">
        <w:rPr>
          <w:b/>
        </w:rPr>
        <w:t>Art. 582. O comodatário é obrigado a conservar, como se sua própria fora, a coisa emprestada</w:t>
      </w:r>
      <w:r w:rsidRPr="00AE6824">
        <w:rPr>
          <w:b/>
        </w:rPr>
        <w:t xml:space="preserve">, não podendo usá-la senão de </w:t>
      </w:r>
      <w:r w:rsidRPr="00AE6824">
        <w:rPr>
          <w:b/>
        </w:rPr>
        <w:lastRenderedPageBreak/>
        <w:t>acordo com o contrato ou a natureza dela, sob pena de responder por perdas e danos.</w:t>
      </w:r>
      <w:r w:rsidRPr="0015119E">
        <w:t xml:space="preserve"> </w:t>
      </w:r>
      <w:r w:rsidRPr="00AE6824">
        <w:rPr>
          <w:b/>
        </w:rPr>
        <w:t>O comodatário constituído em mora, além de por ela responder, pagará, até restituí-la, o aluguel da coisa que for arbitrado pelo comodante.</w:t>
      </w:r>
    </w:p>
    <w:p w:rsidR="00151AF9" w:rsidRPr="00EC0341" w:rsidRDefault="00151AF9" w:rsidP="00151AF9">
      <w:pPr>
        <w:pStyle w:val="Citao"/>
        <w:spacing w:line="288" w:lineRule="auto"/>
        <w:rPr>
          <w:b/>
        </w:rPr>
      </w:pPr>
      <w:r w:rsidRPr="00EC0341">
        <w:rPr>
          <w:b/>
        </w:rPr>
        <w:t>Art. 583. Se, correndo risco o objeto do comodato juntamente com outros do comodatário, antepuser este a salvação dos seus abandonando o do comodante, responderá pelo dano ocorrido, ainda que se possa atribuir a caso fortuito, ou força maior.</w:t>
      </w:r>
    </w:p>
    <w:p w:rsidR="00151AF9" w:rsidRDefault="00151AF9" w:rsidP="00151AF9">
      <w:pPr>
        <w:pStyle w:val="Citao"/>
        <w:spacing w:line="288" w:lineRule="auto"/>
        <w:rPr>
          <w:b/>
        </w:rPr>
      </w:pPr>
      <w:r w:rsidRPr="00EC0341">
        <w:rPr>
          <w:b/>
        </w:rPr>
        <w:t>Art. 584. O comodatário não poderá jamais recobrar do comodante as despesas feitas com o uso e gozo da coisa emprestada.</w:t>
      </w:r>
    </w:p>
    <w:p w:rsidR="00151AF9" w:rsidRPr="00EB0FD3" w:rsidRDefault="00151AF9" w:rsidP="00151AF9">
      <w:pPr>
        <w:pStyle w:val="Citao"/>
        <w:spacing w:line="288" w:lineRule="auto"/>
        <w:rPr>
          <w:i/>
        </w:rPr>
      </w:pPr>
      <w:r>
        <w:t>(...)</w:t>
      </w:r>
      <w:r w:rsidRPr="0015119E">
        <w:t xml:space="preserve"> </w:t>
      </w:r>
      <w:r w:rsidRPr="00EB0FD3">
        <w:t>(grifos de nossa autoria)</w:t>
      </w:r>
    </w:p>
    <w:p w:rsidR="00151AF9" w:rsidRDefault="00151AF9" w:rsidP="00151AF9"/>
    <w:p w:rsidR="00151AF9" w:rsidRPr="00087E58" w:rsidRDefault="00151AF9" w:rsidP="00151AF9">
      <w:pPr>
        <w:rPr>
          <w:b/>
          <w:u w:val="single"/>
        </w:rPr>
      </w:pPr>
      <w:r w:rsidRPr="00087E58">
        <w:t xml:space="preserve">Destarte, quanto ao preço dos aparelhos, verifica-se que a fórmula adotada no edital não pode subsistir. O valor a ser reembolsado deve ser o </w:t>
      </w:r>
      <w:r w:rsidRPr="00D8477A">
        <w:rPr>
          <w:b/>
        </w:rPr>
        <w:t>valor real do aparelho</w:t>
      </w:r>
      <w:r w:rsidRPr="00087E58">
        <w:t xml:space="preserve">, representando o prejuízo sofrido pela Contratada com </w:t>
      </w:r>
      <w:r>
        <w:t>o roubo, perda ou furto</w:t>
      </w:r>
      <w:r w:rsidRPr="00087E58">
        <w:t xml:space="preserve"> ocorridos aos equipamentos quando em posse e sob a guarda da Contratante.</w:t>
      </w:r>
      <w:r>
        <w:t xml:space="preserve"> </w:t>
      </w:r>
      <w:r w:rsidRPr="00087E58">
        <w:rPr>
          <w:b/>
          <w:u w:val="single"/>
        </w:rPr>
        <w:t>Este valor é aquele constante da nota fiscal do aparelho.</w:t>
      </w:r>
    </w:p>
    <w:p w:rsidR="00151AF9" w:rsidRPr="00087E58" w:rsidRDefault="00151AF9" w:rsidP="00151AF9">
      <w:pPr>
        <w:rPr>
          <w:b/>
          <w:u w:val="single"/>
        </w:rPr>
      </w:pPr>
    </w:p>
    <w:p w:rsidR="00151AF9" w:rsidRPr="00751AD2" w:rsidRDefault="00151AF9" w:rsidP="00151AF9">
      <w:pPr>
        <w:rPr>
          <w:b/>
        </w:rPr>
      </w:pPr>
      <w:r w:rsidRPr="00087E58">
        <w:t>Ora, os preços oferecidos no mercado, muitas das vezes, podem ser inferiores ao preço de custo do equipamento, por estarem atrelados a uma cont</w:t>
      </w:r>
      <w:r>
        <w:t xml:space="preserve">ratação de um plano de serviços, ou quaisquer outras estratégias comerciais, </w:t>
      </w:r>
      <w:r w:rsidRPr="00087E58">
        <w:t xml:space="preserve">que </w:t>
      </w:r>
      <w:r>
        <w:t xml:space="preserve">podem </w:t>
      </w:r>
      <w:r w:rsidRPr="00087E58">
        <w:t>compensa</w:t>
      </w:r>
      <w:r>
        <w:t>r</w:t>
      </w:r>
      <w:r w:rsidRPr="00087E58">
        <w:t xml:space="preserve"> a diferença</w:t>
      </w:r>
      <w:r>
        <w:t xml:space="preserve"> de forma</w:t>
      </w:r>
      <w:r w:rsidRPr="00751AD2">
        <w:t xml:space="preserve"> </w:t>
      </w:r>
      <w:r w:rsidRPr="00087E58">
        <w:t>indireta.</w:t>
      </w:r>
      <w:r>
        <w:t xml:space="preserve"> </w:t>
      </w:r>
      <w:r w:rsidRPr="00751AD2">
        <w:rPr>
          <w:b/>
        </w:rPr>
        <w:t>De modo diverso,</w:t>
      </w:r>
      <w:r>
        <w:t xml:space="preserve"> </w:t>
      </w:r>
      <w:r w:rsidRPr="00104BFC">
        <w:rPr>
          <w:b/>
        </w:rPr>
        <w:t>o</w:t>
      </w:r>
      <w:r w:rsidRPr="00B91F66">
        <w:rPr>
          <w:b/>
        </w:rPr>
        <w:t xml:space="preserve"> caso em tela </w:t>
      </w:r>
      <w:r>
        <w:rPr>
          <w:b/>
        </w:rPr>
        <w:t xml:space="preserve">impõe uma indenização pelo </w:t>
      </w:r>
      <w:r w:rsidRPr="00751AD2">
        <w:rPr>
          <w:b/>
        </w:rPr>
        <w:t>descumprimento dos deveres inerent</w:t>
      </w:r>
      <w:r>
        <w:rPr>
          <w:b/>
        </w:rPr>
        <w:t>es ao contrato de comodato, especialmente a obrigação de restituição da coisa.</w:t>
      </w:r>
    </w:p>
    <w:p w:rsidR="00151AF9" w:rsidRDefault="00151AF9" w:rsidP="00151AF9"/>
    <w:p w:rsidR="00151AF9" w:rsidRPr="005D07ED" w:rsidRDefault="00151AF9" w:rsidP="00151AF9">
      <w:pPr>
        <w:rPr>
          <w:b/>
        </w:rPr>
      </w:pPr>
      <w:r w:rsidRPr="00087E58">
        <w:t xml:space="preserve">Assim sendo, requer-se a alteração do dispositivo mencionado </w:t>
      </w:r>
      <w:r w:rsidRPr="00976164">
        <w:t>supra para</w:t>
      </w:r>
      <w:r w:rsidRPr="00087E58">
        <w:t xml:space="preserve"> prever a indenização pela perda</w:t>
      </w:r>
      <w:r>
        <w:t>, furto ou roubo</w:t>
      </w:r>
      <w:r w:rsidRPr="00087E58">
        <w:t xml:space="preserve"> aos equipamentos </w:t>
      </w:r>
      <w:r w:rsidRPr="00087E58">
        <w:rPr>
          <w:b/>
        </w:rPr>
        <w:t xml:space="preserve">no valor da </w:t>
      </w:r>
      <w:r>
        <w:rPr>
          <w:b/>
        </w:rPr>
        <w:t xml:space="preserve">respectiva </w:t>
      </w:r>
      <w:r w:rsidRPr="00087E58">
        <w:rPr>
          <w:b/>
        </w:rPr>
        <w:t>nota fiscal</w:t>
      </w:r>
      <w:r>
        <w:rPr>
          <w:b/>
        </w:rPr>
        <w:t>.</w:t>
      </w:r>
    </w:p>
    <w:p w:rsidR="00151AF9" w:rsidRDefault="00151AF9" w:rsidP="00F36050">
      <w:pPr>
        <w:ind w:firstLine="0"/>
        <w:outlineLvl w:val="0"/>
      </w:pPr>
    </w:p>
    <w:p w:rsidR="00340803" w:rsidRDefault="00340803" w:rsidP="00340803">
      <w:pPr>
        <w:pStyle w:val="PPC"/>
        <w:ind w:firstLine="0"/>
        <w:rPr>
          <w:b/>
          <w:bCs/>
          <w:u w:val="single"/>
        </w:rPr>
      </w:pPr>
      <w:r>
        <w:rPr>
          <w:b/>
          <w:bCs/>
          <w:u w:val="single"/>
        </w:rPr>
        <w:t xml:space="preserve">16. </w:t>
      </w:r>
      <w:r w:rsidR="00B31746">
        <w:rPr>
          <w:b/>
          <w:bCs/>
          <w:u w:val="single"/>
        </w:rPr>
        <w:t xml:space="preserve">ESCLARECIMENTO ACERCA DA </w:t>
      </w:r>
      <w:r>
        <w:rPr>
          <w:b/>
          <w:bCs/>
          <w:u w:val="single"/>
        </w:rPr>
        <w:t>SUBSTITUIÇÃO DOS APARELHOS EM VIRTUDE DE EVOLUÇÕES TECNOLÓGICAS.</w:t>
      </w:r>
    </w:p>
    <w:p w:rsidR="00340803" w:rsidRDefault="00340803" w:rsidP="00340803">
      <w:pPr>
        <w:pStyle w:val="PPC"/>
      </w:pPr>
    </w:p>
    <w:p w:rsidR="00340803" w:rsidRDefault="00D661CE" w:rsidP="00340803">
      <w:pPr>
        <w:autoSpaceDE w:val="0"/>
        <w:autoSpaceDN w:val="0"/>
      </w:pPr>
      <w:r>
        <w:t>A alínea ‘ac’ do item 12.1</w:t>
      </w:r>
      <w:r w:rsidR="00C04A40">
        <w:t xml:space="preserve"> do Anexo I, bem como, a alínea ‘ac’ da Cláusula Sexta da Minuta do Contrato, </w:t>
      </w:r>
      <w:r w:rsidR="00340803">
        <w:t>estabelece</w:t>
      </w:r>
      <w:r w:rsidR="00C04A40">
        <w:t>m</w:t>
      </w:r>
      <w:r w:rsidR="00340803">
        <w:t xml:space="preserve"> que:</w:t>
      </w:r>
    </w:p>
    <w:p w:rsidR="00340803" w:rsidRPr="00DC0F0E" w:rsidRDefault="00340803" w:rsidP="00340803">
      <w:pPr>
        <w:autoSpaceDE w:val="0"/>
        <w:autoSpaceDN w:val="0"/>
        <w:adjustRightInd w:val="0"/>
        <w:snapToGrid/>
        <w:spacing w:line="240" w:lineRule="auto"/>
        <w:ind w:firstLine="0"/>
        <w:jc w:val="left"/>
        <w:rPr>
          <w:rFonts w:ascii="Calibri" w:eastAsia="Times New Roman" w:hAnsi="Calibri" w:cs="Calibri"/>
          <w:szCs w:val="24"/>
        </w:rPr>
      </w:pPr>
    </w:p>
    <w:p w:rsidR="00340803" w:rsidRPr="00DC0F0E" w:rsidRDefault="00D661CE" w:rsidP="00D661CE">
      <w:pPr>
        <w:pStyle w:val="Citao"/>
      </w:pPr>
      <w:proofErr w:type="gramStart"/>
      <w:r>
        <w:t>ac</w:t>
      </w:r>
      <w:proofErr w:type="gramEnd"/>
      <w:r>
        <w:t>) a Contratada deverá proceder à troca dos aparelhos, objeto desta licitação, sempre que houver avanços tecnológicos, após 1 (um) ano da assinatura do Contrato ou das prorrogações, sem ônus ao CRN-2;</w:t>
      </w:r>
    </w:p>
    <w:p w:rsidR="00340803" w:rsidRPr="00DC0F0E" w:rsidRDefault="00340803" w:rsidP="00D661CE">
      <w:pPr>
        <w:autoSpaceDE w:val="0"/>
        <w:autoSpaceDN w:val="0"/>
        <w:adjustRightInd w:val="0"/>
        <w:snapToGrid/>
        <w:spacing w:line="240" w:lineRule="auto"/>
        <w:ind w:firstLine="0"/>
        <w:jc w:val="left"/>
        <w:rPr>
          <w:rFonts w:ascii="Calibri" w:eastAsia="Times New Roman" w:hAnsi="Calibri" w:cs="Calibri"/>
          <w:sz w:val="23"/>
          <w:szCs w:val="23"/>
        </w:rPr>
      </w:pPr>
    </w:p>
    <w:p w:rsidR="00340803" w:rsidRDefault="00921220" w:rsidP="00921220">
      <w:pPr>
        <w:pStyle w:val="PPC"/>
      </w:pPr>
      <w:r w:rsidRPr="00921220">
        <w:lastRenderedPageBreak/>
        <w:t>Entendemos que este item refere-se à situação em que uma nova tecnologia de rede móvel da operado</w:t>
      </w:r>
      <w:r>
        <w:t>ra CONTRATADA seja lançada</w:t>
      </w:r>
      <w:r w:rsidRPr="00921220">
        <w:t>, implicando na descontin</w:t>
      </w:r>
      <w:r>
        <w:t>uidade da anterior. Desta forma</w:t>
      </w:r>
      <w:r w:rsidRPr="00921220">
        <w:t>, seria necessário trocar os aparelhos para que o objeto contratado neste edital possa ser continuado</w:t>
      </w:r>
      <w:r>
        <w:t>.</w:t>
      </w:r>
    </w:p>
    <w:p w:rsidR="00921220" w:rsidRDefault="00921220" w:rsidP="00921220">
      <w:pPr>
        <w:pStyle w:val="PPC"/>
      </w:pPr>
    </w:p>
    <w:p w:rsidR="00340803" w:rsidRPr="006E0201" w:rsidRDefault="00921220" w:rsidP="00340803">
      <w:pPr>
        <w:rPr>
          <w:rFonts w:eastAsia="Times New Roman"/>
          <w:snapToGrid w:val="0"/>
          <w:color w:val="auto"/>
        </w:rPr>
      </w:pPr>
      <w:r>
        <w:t>Imperioso é ser elucidado, também, se</w:t>
      </w:r>
      <w:r w:rsidR="00340803">
        <w:t xml:space="preserve"> será levada em consideração </w:t>
      </w:r>
      <w:r w:rsidR="00340803" w:rsidRPr="006E0201">
        <w:rPr>
          <w:rFonts w:eastAsia="Times New Roman"/>
          <w:snapToGrid w:val="0"/>
          <w:color w:val="auto"/>
        </w:rPr>
        <w:t>a espe</w:t>
      </w:r>
      <w:r w:rsidR="00340803">
        <w:rPr>
          <w:rFonts w:eastAsia="Times New Roman"/>
          <w:snapToGrid w:val="0"/>
          <w:color w:val="auto"/>
        </w:rPr>
        <w:t xml:space="preserve">cificação técnica constante no </w:t>
      </w:r>
      <w:r w:rsidR="00340803" w:rsidRPr="006E0201">
        <w:rPr>
          <w:rFonts w:eastAsia="Times New Roman"/>
          <w:snapToGrid w:val="0"/>
          <w:color w:val="auto"/>
        </w:rPr>
        <w:t>Termo de Referên</w:t>
      </w:r>
      <w:r w:rsidR="008F1571">
        <w:rPr>
          <w:rFonts w:eastAsia="Times New Roman"/>
          <w:snapToGrid w:val="0"/>
          <w:color w:val="auto"/>
        </w:rPr>
        <w:t>cia para escolha dos aparelhos.</w:t>
      </w:r>
    </w:p>
    <w:p w:rsidR="00340803" w:rsidRDefault="00340803" w:rsidP="00340803">
      <w:pPr>
        <w:pStyle w:val="PPC"/>
      </w:pPr>
    </w:p>
    <w:p w:rsidR="00340803" w:rsidRDefault="008F1571" w:rsidP="00340803">
      <w:pPr>
        <w:pStyle w:val="PPC"/>
      </w:pPr>
      <w:r>
        <w:t>Dessa forma, vem requerer o esclarecimento acerca das questões acima apontadas.</w:t>
      </w:r>
    </w:p>
    <w:p w:rsidR="00340803" w:rsidRDefault="00340803" w:rsidP="00F36050">
      <w:pPr>
        <w:ind w:firstLine="0"/>
        <w:outlineLvl w:val="0"/>
      </w:pPr>
    </w:p>
    <w:p w:rsidR="00F36050" w:rsidRPr="00F36050" w:rsidRDefault="00F36050" w:rsidP="00F36050">
      <w:pPr>
        <w:ind w:firstLine="0"/>
        <w:outlineLvl w:val="0"/>
        <w:rPr>
          <w:b/>
          <w:bCs/>
          <w:color w:val="auto"/>
          <w:kern w:val="28"/>
          <w:szCs w:val="24"/>
          <w:u w:val="single"/>
          <w:lang w:eastAsia="ar-SA"/>
        </w:rPr>
      </w:pPr>
      <w:r w:rsidRPr="00F36050">
        <w:rPr>
          <w:b/>
          <w:bCs/>
          <w:color w:val="auto"/>
          <w:kern w:val="28"/>
          <w:szCs w:val="24"/>
          <w:u w:val="single"/>
          <w:lang w:eastAsia="ar-SA"/>
        </w:rPr>
        <w:t xml:space="preserve">IV - REQUERIMENTOS. </w:t>
      </w:r>
    </w:p>
    <w:p w:rsidR="00F36050" w:rsidRPr="00F36050" w:rsidRDefault="00F36050" w:rsidP="00F36050">
      <w:pPr>
        <w:rPr>
          <w:snapToGrid w:val="0"/>
        </w:rPr>
      </w:pPr>
    </w:p>
    <w:p w:rsidR="00F36050" w:rsidRPr="00F36050" w:rsidRDefault="00F36050" w:rsidP="00F36050">
      <w:pPr>
        <w:rPr>
          <w:snapToGrid w:val="0"/>
        </w:rPr>
      </w:pPr>
      <w:r w:rsidRPr="00F36050">
        <w:rPr>
          <w:snapToGrid w:val="0"/>
        </w:rPr>
        <w:t xml:space="preserve">Em síntese, requer sejam analisados os pontos detalhados nesta impugnação, com a </w:t>
      </w:r>
      <w:r w:rsidRPr="00F36050">
        <w:rPr>
          <w:b/>
          <w:snapToGrid w:val="0"/>
        </w:rPr>
        <w:t>correção necessária</w:t>
      </w:r>
      <w:r w:rsidRPr="00F36050">
        <w:rPr>
          <w:snapToGrid w:val="0"/>
        </w:rPr>
        <w:t xml:space="preserve"> do ato convocatório para que se afaste qualquer antijuridicidade que macule todo o procedimento que se iniciará.</w:t>
      </w:r>
    </w:p>
    <w:p w:rsidR="00F36050" w:rsidRPr="00F36050" w:rsidRDefault="00F36050" w:rsidP="00F36050">
      <w:pPr>
        <w:rPr>
          <w:snapToGrid w:val="0"/>
        </w:rPr>
      </w:pPr>
    </w:p>
    <w:p w:rsidR="00F36050" w:rsidRPr="00F36050" w:rsidRDefault="00F36050" w:rsidP="00F36050">
      <w:pPr>
        <w:rPr>
          <w:snapToGrid w:val="0"/>
        </w:rPr>
      </w:pPr>
      <w:r w:rsidRPr="00F36050">
        <w:rPr>
          <w:snapToGrid w:val="0"/>
          <w:color w:val="auto"/>
        </w:rPr>
        <w:t>Tendo em vista que a sessã</w:t>
      </w:r>
      <w:r w:rsidR="009D7225">
        <w:rPr>
          <w:snapToGrid w:val="0"/>
          <w:color w:val="auto"/>
        </w:rPr>
        <w:t xml:space="preserve">o pública está </w:t>
      </w:r>
      <w:r w:rsidR="007747A7">
        <w:rPr>
          <w:snapToGrid w:val="0"/>
          <w:color w:val="auto"/>
        </w:rPr>
        <w:t>designada para 04/09</w:t>
      </w:r>
      <w:r w:rsidR="0009615D">
        <w:rPr>
          <w:snapToGrid w:val="0"/>
          <w:color w:val="auto"/>
        </w:rPr>
        <w:t>/2017</w:t>
      </w:r>
      <w:r w:rsidRPr="00F36050">
        <w:rPr>
          <w:snapToGrid w:val="0"/>
          <w:color w:val="auto"/>
        </w:rPr>
        <w:t xml:space="preserve">, </w:t>
      </w:r>
      <w:r w:rsidRPr="00F36050">
        <w:rPr>
          <w:snapToGrid w:val="0"/>
        </w:rPr>
        <w:t xml:space="preserve">requer, ainda, seja conferido </w:t>
      </w:r>
      <w:r w:rsidRPr="00F36050">
        <w:rPr>
          <w:b/>
          <w:snapToGrid w:val="0"/>
        </w:rPr>
        <w:t>efeito suspensivo</w:t>
      </w:r>
      <w:r w:rsidRPr="00F36050">
        <w:rPr>
          <w:snapToGrid w:val="0"/>
        </w:rPr>
        <w:t xml:space="preserve"> a esta impugnação, adiando-se a referida sessão para data posterior à solução dos problemas ora apontados. Caso contrário, há o iminente risco de todo processo licitatório ser considerado inválido, sustentados os equívocos no edital ora apontados, com desperdício da atividade ocorrida na sessão pública, incluindo avaliação das propostas e dos documentos de habilitação.</w:t>
      </w:r>
    </w:p>
    <w:p w:rsidR="00F36050" w:rsidRPr="00F36050" w:rsidRDefault="00F36050" w:rsidP="00F36050">
      <w:pPr>
        <w:rPr>
          <w:snapToGrid w:val="0"/>
        </w:rPr>
      </w:pPr>
    </w:p>
    <w:p w:rsidR="00F36050" w:rsidRPr="00F36050" w:rsidRDefault="00F36050" w:rsidP="00F36050">
      <w:pPr>
        <w:rPr>
          <w:snapToGrid w:val="0"/>
        </w:rPr>
      </w:pPr>
      <w:r w:rsidRPr="00F36050">
        <w:rPr>
          <w:snapToGrid w:val="0"/>
        </w:rPr>
        <w:t>Requer, caso não corrigido o instrumento convocatório nos pontos ora invocados, seja mantida a irresignação da ora impugnante, para posterior juízo de anulação por parte da autoridade competente para tanto.</w:t>
      </w:r>
    </w:p>
    <w:p w:rsidR="00F36050" w:rsidRPr="00F36050" w:rsidRDefault="00F36050" w:rsidP="00F36050">
      <w:pPr>
        <w:rPr>
          <w:snapToGrid w:val="0"/>
        </w:rPr>
      </w:pPr>
    </w:p>
    <w:p w:rsidR="00F36050" w:rsidRPr="00F36050" w:rsidRDefault="00F36050" w:rsidP="00F36050">
      <w:pPr>
        <w:rPr>
          <w:snapToGrid w:val="0"/>
        </w:rPr>
      </w:pPr>
      <w:r w:rsidRPr="00F36050">
        <w:rPr>
          <w:snapToGrid w:val="0"/>
        </w:rPr>
        <w:t>Pelo que</w:t>
      </w:r>
      <w:r w:rsidRPr="00F36050">
        <w:rPr>
          <w:b/>
          <w:snapToGrid w:val="0"/>
        </w:rPr>
        <w:t xml:space="preserve"> PEDE DEFERIMENTO</w:t>
      </w:r>
      <w:r w:rsidRPr="00F36050">
        <w:rPr>
          <w:snapToGrid w:val="0"/>
        </w:rPr>
        <w:t>,</w:t>
      </w:r>
    </w:p>
    <w:p w:rsidR="00F36050" w:rsidRPr="00F36050" w:rsidRDefault="00F36050" w:rsidP="00F36050">
      <w:pPr>
        <w:rPr>
          <w:b/>
          <w:snapToGrid w:val="0"/>
        </w:rPr>
      </w:pPr>
    </w:p>
    <w:p w:rsidR="00F36050" w:rsidRPr="00F36050" w:rsidRDefault="008A328A" w:rsidP="00F36050">
      <w:pPr>
        <w:ind w:firstLine="0"/>
        <w:jc w:val="right"/>
        <w:rPr>
          <w:snapToGrid w:val="0"/>
          <w:color w:val="auto"/>
          <w:szCs w:val="24"/>
          <w:lang w:eastAsia="en-US"/>
        </w:rPr>
      </w:pPr>
      <w:r>
        <w:rPr>
          <w:snapToGrid w:val="0"/>
          <w:color w:val="auto"/>
          <w:szCs w:val="24"/>
          <w:lang w:eastAsia="en-US"/>
        </w:rPr>
        <w:t>Porto Alegre/RS</w:t>
      </w:r>
      <w:r w:rsidR="00461A8C">
        <w:rPr>
          <w:snapToGrid w:val="0"/>
          <w:color w:val="auto"/>
          <w:szCs w:val="24"/>
          <w:lang w:eastAsia="en-US"/>
        </w:rPr>
        <w:t xml:space="preserve">, 30 </w:t>
      </w:r>
      <w:r w:rsidR="00D93A20">
        <w:rPr>
          <w:snapToGrid w:val="0"/>
          <w:color w:val="auto"/>
          <w:szCs w:val="24"/>
          <w:lang w:eastAsia="en-US"/>
        </w:rPr>
        <w:t>de agosto</w:t>
      </w:r>
      <w:r w:rsidR="00D05CAC">
        <w:rPr>
          <w:snapToGrid w:val="0"/>
          <w:color w:val="auto"/>
          <w:szCs w:val="24"/>
          <w:lang w:eastAsia="en-US"/>
        </w:rPr>
        <w:t xml:space="preserve"> de 2017</w:t>
      </w:r>
      <w:r w:rsidR="00F36050" w:rsidRPr="00F36050">
        <w:rPr>
          <w:snapToGrid w:val="0"/>
          <w:color w:val="auto"/>
          <w:szCs w:val="24"/>
          <w:lang w:eastAsia="en-US"/>
        </w:rPr>
        <w:t>.</w:t>
      </w:r>
    </w:p>
    <w:p w:rsidR="00F36050" w:rsidRPr="00F36050" w:rsidRDefault="00F36050" w:rsidP="00F36050">
      <w:pPr>
        <w:rPr>
          <w:snapToGrid w:val="0"/>
          <w:color w:val="auto"/>
          <w:szCs w:val="24"/>
          <w:lang w:eastAsia="en-US"/>
        </w:rPr>
      </w:pPr>
    </w:p>
    <w:p w:rsidR="00F36050" w:rsidRPr="00F36050" w:rsidRDefault="00F36050" w:rsidP="00F36050">
      <w:pPr>
        <w:ind w:firstLine="0"/>
        <w:jc w:val="center"/>
        <w:rPr>
          <w:snapToGrid w:val="0"/>
        </w:rPr>
      </w:pPr>
      <w:r w:rsidRPr="00F36050">
        <w:rPr>
          <w:b/>
          <w:bCs/>
          <w:snapToGrid w:val="0"/>
        </w:rPr>
        <w:t>TELEFONICA BRASIL S/A</w:t>
      </w:r>
    </w:p>
    <w:p w:rsidR="00F36050" w:rsidRPr="00F36050" w:rsidRDefault="00F36050" w:rsidP="00F36050">
      <w:pPr>
        <w:ind w:firstLine="0"/>
        <w:rPr>
          <w:snapToGrid w:val="0"/>
        </w:rPr>
      </w:pPr>
    </w:p>
    <w:p w:rsidR="00F36050" w:rsidRPr="00F36050" w:rsidRDefault="00F36050" w:rsidP="00F36050">
      <w:pPr>
        <w:ind w:firstLine="0"/>
        <w:rPr>
          <w:snapToGrid w:val="0"/>
        </w:rPr>
      </w:pPr>
      <w:r w:rsidRPr="00F36050">
        <w:rPr>
          <w:snapToGrid w:val="0"/>
        </w:rPr>
        <w:t>Nome do procurador:</w:t>
      </w:r>
    </w:p>
    <w:p w:rsidR="00F36050" w:rsidRPr="00F36050" w:rsidRDefault="00F36050" w:rsidP="00F36050">
      <w:pPr>
        <w:ind w:firstLine="0"/>
        <w:rPr>
          <w:snapToGrid w:val="0"/>
        </w:rPr>
      </w:pPr>
      <w:r w:rsidRPr="00F36050">
        <w:rPr>
          <w:snapToGrid w:val="0"/>
        </w:rPr>
        <w:t>RG:</w:t>
      </w:r>
    </w:p>
    <w:p w:rsidR="00F36050" w:rsidRPr="00F36050" w:rsidRDefault="00F36050" w:rsidP="00F36050">
      <w:pPr>
        <w:ind w:firstLine="0"/>
        <w:rPr>
          <w:snapToGrid w:val="0"/>
        </w:rPr>
      </w:pPr>
      <w:r w:rsidRPr="00F36050">
        <w:rPr>
          <w:snapToGrid w:val="0"/>
        </w:rPr>
        <w:lastRenderedPageBreak/>
        <w:t>CPF:</w:t>
      </w:r>
    </w:p>
    <w:p w:rsidR="008F37A7" w:rsidRPr="00CA2769" w:rsidRDefault="008F37A7" w:rsidP="006D0293">
      <w:pPr>
        <w:ind w:firstLine="0"/>
      </w:pPr>
    </w:p>
    <w:sectPr w:rsidR="008F37A7" w:rsidRPr="00CA2769" w:rsidSect="00422F7A">
      <w:headerReference w:type="default" r:id="rId9"/>
      <w:footerReference w:type="default" r:id="rId10"/>
      <w:type w:val="continuous"/>
      <w:pgSz w:w="11900" w:h="16840"/>
      <w:pgMar w:top="1985" w:right="1418" w:bottom="1418" w:left="1985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00B" w:rsidRDefault="00CE600B" w:rsidP="00422F7A">
      <w:r>
        <w:separator/>
      </w:r>
    </w:p>
  </w:endnote>
  <w:endnote w:type="continuationSeparator" w:id="0">
    <w:p w:rsidR="00CE600B" w:rsidRDefault="00CE600B" w:rsidP="00422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lefonica Text">
    <w:altName w:val="Arial Narrow"/>
    <w:charset w:val="00"/>
    <w:family w:val="auto"/>
    <w:pitch w:val="variable"/>
    <w:sig w:usb0="00000001" w:usb1="4000204A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769" w:rsidRPr="005B76BF" w:rsidRDefault="00CA2769" w:rsidP="005B76BF">
    <w:pPr>
      <w:tabs>
        <w:tab w:val="left" w:pos="284"/>
        <w:tab w:val="left" w:pos="2268"/>
        <w:tab w:val="left" w:pos="4395"/>
        <w:tab w:val="left" w:pos="5730"/>
      </w:tabs>
      <w:ind w:left="-1134" w:firstLine="0"/>
      <w:rPr>
        <w:rFonts w:ascii="Telefonica Text" w:hAnsi="Telefonica Text"/>
        <w:color w:val="003C58"/>
        <w:sz w:val="14"/>
      </w:rPr>
    </w:pPr>
    <w:r w:rsidRPr="005B76BF">
      <w:rPr>
        <w:rFonts w:ascii="Telefonica Text" w:hAnsi="Telefonica Text"/>
        <w:color w:val="003C58"/>
        <w:sz w:val="14"/>
      </w:rPr>
      <w:t>Telefônica Brasil S.A.</w:t>
    </w:r>
    <w:r w:rsidRPr="005B76BF">
      <w:rPr>
        <w:rFonts w:ascii="Telefonica Text" w:hAnsi="Telefonica Text"/>
        <w:color w:val="003C58"/>
        <w:sz w:val="14"/>
      </w:rPr>
      <w:tab/>
      <w:t>Av. Eng. Luiz Carlos Berrini, 1.376</w:t>
    </w:r>
    <w:r w:rsidRPr="005B76BF">
      <w:rPr>
        <w:rFonts w:ascii="Telefonica Text" w:hAnsi="Telefonica Text"/>
        <w:color w:val="003C58"/>
        <w:sz w:val="14"/>
      </w:rPr>
      <w:tab/>
      <w:t>www.telefonica.com.br</w:t>
    </w:r>
  </w:p>
  <w:p w:rsidR="00CA2769" w:rsidRPr="005B76BF" w:rsidRDefault="00CA2769" w:rsidP="005B76BF">
    <w:pPr>
      <w:tabs>
        <w:tab w:val="left" w:pos="284"/>
        <w:tab w:val="left" w:pos="4253"/>
        <w:tab w:val="left" w:pos="4395"/>
        <w:tab w:val="left" w:pos="5730"/>
      </w:tabs>
      <w:ind w:firstLine="0"/>
      <w:rPr>
        <w:rFonts w:ascii="Telefonica Text" w:hAnsi="Telefonica Text"/>
        <w:color w:val="003C58"/>
        <w:sz w:val="14"/>
      </w:rPr>
    </w:pPr>
    <w:r w:rsidRPr="005B76BF">
      <w:rPr>
        <w:rFonts w:ascii="Telefonica Text" w:hAnsi="Telefonica Text"/>
        <w:color w:val="003C58"/>
        <w:sz w:val="14"/>
      </w:rPr>
      <w:tab/>
      <w:t>São Paulo - SP</w:t>
    </w:r>
    <w:r w:rsidRPr="005B76BF">
      <w:rPr>
        <w:rFonts w:ascii="Telefonica Text" w:hAnsi="Telefonica Text"/>
        <w:color w:val="003C58"/>
        <w:sz w:val="14"/>
      </w:rPr>
      <w:tab/>
    </w:r>
  </w:p>
  <w:p w:rsidR="00CA2769" w:rsidRPr="005B76BF" w:rsidRDefault="00CA2769" w:rsidP="005B76BF">
    <w:pPr>
      <w:tabs>
        <w:tab w:val="left" w:pos="284"/>
        <w:tab w:val="left" w:pos="4253"/>
        <w:tab w:val="left" w:pos="4395"/>
        <w:tab w:val="left" w:pos="5730"/>
      </w:tabs>
      <w:ind w:firstLine="0"/>
      <w:rPr>
        <w:rFonts w:ascii="Telefonica Text" w:hAnsi="Telefonica Text"/>
        <w:color w:val="003C58"/>
        <w:sz w:val="14"/>
      </w:rPr>
    </w:pPr>
    <w:r w:rsidRPr="005B76BF">
      <w:rPr>
        <w:rFonts w:ascii="Telefonica Text" w:hAnsi="Telefonica Text"/>
        <w:color w:val="003C58"/>
        <w:sz w:val="14"/>
      </w:rPr>
      <w:tab/>
      <w:t>04571-936</w:t>
    </w:r>
  </w:p>
  <w:p w:rsidR="001B6341" w:rsidRDefault="001B6341" w:rsidP="00CA2769">
    <w:pPr>
      <w:pStyle w:val="Rodap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00B" w:rsidRDefault="00CE600B" w:rsidP="00422F7A">
      <w:r>
        <w:separator/>
      </w:r>
    </w:p>
  </w:footnote>
  <w:footnote w:type="continuationSeparator" w:id="0">
    <w:p w:rsidR="00CE600B" w:rsidRDefault="00CE600B" w:rsidP="00422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7A7" w:rsidRDefault="00114871" w:rsidP="00422F7A">
    <w:pPr>
      <w:pStyle w:val="Cabealho"/>
      <w:ind w:left="5529"/>
    </w:pPr>
    <w:r w:rsidRPr="001B6341">
      <w:rPr>
        <w:noProof/>
      </w:rPr>
      <w:drawing>
        <wp:inline distT="0" distB="0" distL="0" distR="0">
          <wp:extent cx="1252855" cy="344170"/>
          <wp:effectExtent l="0" t="0" r="4445" b="0"/>
          <wp:docPr id="1" name="Imagem 2" descr="Z:\COMUNICAÇAO INTERNA\Marca Telefonica 2010_2011\Fundos e Logotipos\Logo_Telefonica_positiv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Z:\COMUNICAÇAO INTERNA\Marca Telefonica 2010_2011\Fundos e Logotipos\Logo_Telefonica_positiv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855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0F279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C5E6D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A42F8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88AE2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1A4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915615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CC268C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5914C1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DB002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F15E56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E028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CE08DE"/>
    <w:multiLevelType w:val="hybridMultilevel"/>
    <w:tmpl w:val="AD4E0B6A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29E20D60"/>
    <w:multiLevelType w:val="hybridMultilevel"/>
    <w:tmpl w:val="9938A4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8AB460"/>
    <w:multiLevelType w:val="hybridMultilevel"/>
    <w:tmpl w:val="604E3F2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475E1762"/>
    <w:multiLevelType w:val="hybridMultilevel"/>
    <w:tmpl w:val="16E4A6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1716C6"/>
    <w:multiLevelType w:val="hybridMultilevel"/>
    <w:tmpl w:val="DCB6D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11"/>
  </w:num>
  <w:num w:numId="13">
    <w:abstractNumId w:val="12"/>
  </w:num>
  <w:num w:numId="14">
    <w:abstractNumId w:val="14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3D8"/>
    <w:rsid w:val="00011367"/>
    <w:rsid w:val="00020BD5"/>
    <w:rsid w:val="00035427"/>
    <w:rsid w:val="00036FE9"/>
    <w:rsid w:val="00040E5A"/>
    <w:rsid w:val="00043A00"/>
    <w:rsid w:val="00046602"/>
    <w:rsid w:val="00062066"/>
    <w:rsid w:val="00065A5A"/>
    <w:rsid w:val="00065B28"/>
    <w:rsid w:val="00077950"/>
    <w:rsid w:val="000845AB"/>
    <w:rsid w:val="00094D5D"/>
    <w:rsid w:val="0009615D"/>
    <w:rsid w:val="000A72A4"/>
    <w:rsid w:val="000B2C50"/>
    <w:rsid w:val="000B408B"/>
    <w:rsid w:val="000D253E"/>
    <w:rsid w:val="000E0CF5"/>
    <w:rsid w:val="000E7B7B"/>
    <w:rsid w:val="000F2AE6"/>
    <w:rsid w:val="000F371B"/>
    <w:rsid w:val="00103A96"/>
    <w:rsid w:val="00105635"/>
    <w:rsid w:val="001104A7"/>
    <w:rsid w:val="00110E8C"/>
    <w:rsid w:val="00114871"/>
    <w:rsid w:val="00151AF9"/>
    <w:rsid w:val="00160794"/>
    <w:rsid w:val="0016285A"/>
    <w:rsid w:val="001629AC"/>
    <w:rsid w:val="00162F43"/>
    <w:rsid w:val="00174513"/>
    <w:rsid w:val="001747A5"/>
    <w:rsid w:val="0018282D"/>
    <w:rsid w:val="001850ED"/>
    <w:rsid w:val="00192068"/>
    <w:rsid w:val="00193029"/>
    <w:rsid w:val="00196AF9"/>
    <w:rsid w:val="001B3104"/>
    <w:rsid w:val="001B6341"/>
    <w:rsid w:val="001C0566"/>
    <w:rsid w:val="001C55F0"/>
    <w:rsid w:val="001D21FB"/>
    <w:rsid w:val="001E0968"/>
    <w:rsid w:val="00202070"/>
    <w:rsid w:val="0020572E"/>
    <w:rsid w:val="002261C3"/>
    <w:rsid w:val="00236AAE"/>
    <w:rsid w:val="00257E8C"/>
    <w:rsid w:val="0028357D"/>
    <w:rsid w:val="00293A70"/>
    <w:rsid w:val="002A10C1"/>
    <w:rsid w:val="002A1BB9"/>
    <w:rsid w:val="002A7574"/>
    <w:rsid w:val="002F1690"/>
    <w:rsid w:val="002F6605"/>
    <w:rsid w:val="003035E3"/>
    <w:rsid w:val="00303CB4"/>
    <w:rsid w:val="00316005"/>
    <w:rsid w:val="00326D91"/>
    <w:rsid w:val="00332983"/>
    <w:rsid w:val="00340803"/>
    <w:rsid w:val="00351903"/>
    <w:rsid w:val="00393440"/>
    <w:rsid w:val="003A0BBD"/>
    <w:rsid w:val="003A27A5"/>
    <w:rsid w:val="003B3E8F"/>
    <w:rsid w:val="003B5531"/>
    <w:rsid w:val="003B5EDB"/>
    <w:rsid w:val="003C3BF2"/>
    <w:rsid w:val="003D041D"/>
    <w:rsid w:val="003D1F7A"/>
    <w:rsid w:val="004006FC"/>
    <w:rsid w:val="00402DDA"/>
    <w:rsid w:val="004101EC"/>
    <w:rsid w:val="004215D7"/>
    <w:rsid w:val="00422F7A"/>
    <w:rsid w:val="00423EB5"/>
    <w:rsid w:val="00425C6F"/>
    <w:rsid w:val="004351D6"/>
    <w:rsid w:val="00441003"/>
    <w:rsid w:val="0044204C"/>
    <w:rsid w:val="00444949"/>
    <w:rsid w:val="00451B89"/>
    <w:rsid w:val="00453C19"/>
    <w:rsid w:val="00461A8C"/>
    <w:rsid w:val="004625CB"/>
    <w:rsid w:val="00481627"/>
    <w:rsid w:val="00493B66"/>
    <w:rsid w:val="004A15B7"/>
    <w:rsid w:val="004A5C58"/>
    <w:rsid w:val="004C278D"/>
    <w:rsid w:val="004F4EED"/>
    <w:rsid w:val="00510EF5"/>
    <w:rsid w:val="00517A82"/>
    <w:rsid w:val="00523205"/>
    <w:rsid w:val="00544662"/>
    <w:rsid w:val="00544747"/>
    <w:rsid w:val="005458EF"/>
    <w:rsid w:val="0054605D"/>
    <w:rsid w:val="00555EAC"/>
    <w:rsid w:val="00571E93"/>
    <w:rsid w:val="005843D8"/>
    <w:rsid w:val="005A0794"/>
    <w:rsid w:val="005B76BF"/>
    <w:rsid w:val="005C34A6"/>
    <w:rsid w:val="005E1B8E"/>
    <w:rsid w:val="006052B4"/>
    <w:rsid w:val="00645FB6"/>
    <w:rsid w:val="00647593"/>
    <w:rsid w:val="006528E8"/>
    <w:rsid w:val="00670539"/>
    <w:rsid w:val="006747BD"/>
    <w:rsid w:val="0068497F"/>
    <w:rsid w:val="00686D55"/>
    <w:rsid w:val="0069307D"/>
    <w:rsid w:val="006A0827"/>
    <w:rsid w:val="006B4FDD"/>
    <w:rsid w:val="006C048B"/>
    <w:rsid w:val="006D0293"/>
    <w:rsid w:val="006D2988"/>
    <w:rsid w:val="006D2D3A"/>
    <w:rsid w:val="006D5F50"/>
    <w:rsid w:val="006F6EA8"/>
    <w:rsid w:val="007050DF"/>
    <w:rsid w:val="00720708"/>
    <w:rsid w:val="00720D25"/>
    <w:rsid w:val="00722D06"/>
    <w:rsid w:val="00726645"/>
    <w:rsid w:val="00740C34"/>
    <w:rsid w:val="007454E2"/>
    <w:rsid w:val="007559D4"/>
    <w:rsid w:val="007747A7"/>
    <w:rsid w:val="0078265A"/>
    <w:rsid w:val="007B0B96"/>
    <w:rsid w:val="007B7FC1"/>
    <w:rsid w:val="008006DA"/>
    <w:rsid w:val="008056E2"/>
    <w:rsid w:val="00805B51"/>
    <w:rsid w:val="0081203D"/>
    <w:rsid w:val="0081604C"/>
    <w:rsid w:val="008450E1"/>
    <w:rsid w:val="008477E6"/>
    <w:rsid w:val="00871CB7"/>
    <w:rsid w:val="00880461"/>
    <w:rsid w:val="008836E2"/>
    <w:rsid w:val="00894580"/>
    <w:rsid w:val="00894625"/>
    <w:rsid w:val="008A2883"/>
    <w:rsid w:val="008A328A"/>
    <w:rsid w:val="008B011B"/>
    <w:rsid w:val="008C3D35"/>
    <w:rsid w:val="008C73EC"/>
    <w:rsid w:val="008D3BC6"/>
    <w:rsid w:val="008E12AD"/>
    <w:rsid w:val="008F0A9C"/>
    <w:rsid w:val="008F1571"/>
    <w:rsid w:val="008F37A7"/>
    <w:rsid w:val="008F7C50"/>
    <w:rsid w:val="00905955"/>
    <w:rsid w:val="00921220"/>
    <w:rsid w:val="00922C29"/>
    <w:rsid w:val="00932FE4"/>
    <w:rsid w:val="00933ECA"/>
    <w:rsid w:val="00943B00"/>
    <w:rsid w:val="00953B24"/>
    <w:rsid w:val="00973F13"/>
    <w:rsid w:val="009743B0"/>
    <w:rsid w:val="00981BA9"/>
    <w:rsid w:val="00981DD5"/>
    <w:rsid w:val="009876B1"/>
    <w:rsid w:val="0099340A"/>
    <w:rsid w:val="009952BA"/>
    <w:rsid w:val="009A7DAF"/>
    <w:rsid w:val="009B7C7E"/>
    <w:rsid w:val="009C66DA"/>
    <w:rsid w:val="009D7225"/>
    <w:rsid w:val="00A25A5F"/>
    <w:rsid w:val="00A37310"/>
    <w:rsid w:val="00A45DA8"/>
    <w:rsid w:val="00A47D81"/>
    <w:rsid w:val="00A5000C"/>
    <w:rsid w:val="00A57295"/>
    <w:rsid w:val="00A821D5"/>
    <w:rsid w:val="00AA1262"/>
    <w:rsid w:val="00AC0B9B"/>
    <w:rsid w:val="00AF6DD6"/>
    <w:rsid w:val="00B220F0"/>
    <w:rsid w:val="00B26D0D"/>
    <w:rsid w:val="00B2738D"/>
    <w:rsid w:val="00B31746"/>
    <w:rsid w:val="00B34B63"/>
    <w:rsid w:val="00B37C10"/>
    <w:rsid w:val="00B40F3F"/>
    <w:rsid w:val="00B470F9"/>
    <w:rsid w:val="00B64D60"/>
    <w:rsid w:val="00B74C80"/>
    <w:rsid w:val="00B81670"/>
    <w:rsid w:val="00B9592A"/>
    <w:rsid w:val="00B96F20"/>
    <w:rsid w:val="00BB66DA"/>
    <w:rsid w:val="00BC0246"/>
    <w:rsid w:val="00BC763C"/>
    <w:rsid w:val="00BC77FB"/>
    <w:rsid w:val="00BE6149"/>
    <w:rsid w:val="00C013C2"/>
    <w:rsid w:val="00C04A40"/>
    <w:rsid w:val="00C1719E"/>
    <w:rsid w:val="00C24271"/>
    <w:rsid w:val="00C323C4"/>
    <w:rsid w:val="00C50E64"/>
    <w:rsid w:val="00C63AFC"/>
    <w:rsid w:val="00C745FB"/>
    <w:rsid w:val="00C748C5"/>
    <w:rsid w:val="00C76F1C"/>
    <w:rsid w:val="00C77630"/>
    <w:rsid w:val="00C80A07"/>
    <w:rsid w:val="00C911D6"/>
    <w:rsid w:val="00C92A54"/>
    <w:rsid w:val="00C93DD7"/>
    <w:rsid w:val="00C94E6F"/>
    <w:rsid w:val="00C95E36"/>
    <w:rsid w:val="00CA2769"/>
    <w:rsid w:val="00CD5251"/>
    <w:rsid w:val="00CD74E4"/>
    <w:rsid w:val="00CD74E6"/>
    <w:rsid w:val="00CE600B"/>
    <w:rsid w:val="00CE6D12"/>
    <w:rsid w:val="00CF16B2"/>
    <w:rsid w:val="00D049E1"/>
    <w:rsid w:val="00D05CAC"/>
    <w:rsid w:val="00D112DE"/>
    <w:rsid w:val="00D2330C"/>
    <w:rsid w:val="00D37F89"/>
    <w:rsid w:val="00D47F72"/>
    <w:rsid w:val="00D6520A"/>
    <w:rsid w:val="00D661CE"/>
    <w:rsid w:val="00D71EE9"/>
    <w:rsid w:val="00D72EDD"/>
    <w:rsid w:val="00D74D3A"/>
    <w:rsid w:val="00D93A20"/>
    <w:rsid w:val="00D97A52"/>
    <w:rsid w:val="00DA065C"/>
    <w:rsid w:val="00DB1218"/>
    <w:rsid w:val="00DB4F1E"/>
    <w:rsid w:val="00DB63A0"/>
    <w:rsid w:val="00DD46AE"/>
    <w:rsid w:val="00DE3B50"/>
    <w:rsid w:val="00DF3DC8"/>
    <w:rsid w:val="00DF7A28"/>
    <w:rsid w:val="00E06020"/>
    <w:rsid w:val="00E17786"/>
    <w:rsid w:val="00E266B8"/>
    <w:rsid w:val="00E325F5"/>
    <w:rsid w:val="00E74ABD"/>
    <w:rsid w:val="00E85EB4"/>
    <w:rsid w:val="00EB390F"/>
    <w:rsid w:val="00EC21A4"/>
    <w:rsid w:val="00ED054F"/>
    <w:rsid w:val="00ED1530"/>
    <w:rsid w:val="00EE126D"/>
    <w:rsid w:val="00EF2806"/>
    <w:rsid w:val="00EF7ABA"/>
    <w:rsid w:val="00F02C0F"/>
    <w:rsid w:val="00F236A4"/>
    <w:rsid w:val="00F36050"/>
    <w:rsid w:val="00F37365"/>
    <w:rsid w:val="00F45570"/>
    <w:rsid w:val="00F45631"/>
    <w:rsid w:val="00F523EC"/>
    <w:rsid w:val="00F616DA"/>
    <w:rsid w:val="00F74719"/>
    <w:rsid w:val="00F76A44"/>
    <w:rsid w:val="00F824E4"/>
    <w:rsid w:val="00F82AA6"/>
    <w:rsid w:val="00F944C3"/>
    <w:rsid w:val="00FA6D7C"/>
    <w:rsid w:val="00FD1B5B"/>
    <w:rsid w:val="00FD384B"/>
    <w:rsid w:val="00FD4928"/>
    <w:rsid w:val="00FE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trong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3B50"/>
    <w:pPr>
      <w:snapToGrid w:val="0"/>
      <w:spacing w:line="288" w:lineRule="auto"/>
      <w:ind w:firstLine="1418"/>
      <w:jc w:val="both"/>
    </w:pPr>
    <w:rPr>
      <w:rFonts w:ascii="Arial" w:eastAsia="Calibri" w:hAnsi="Arial" w:cs="Arial"/>
      <w:color w:val="000000"/>
      <w:sz w:val="24"/>
    </w:rPr>
  </w:style>
  <w:style w:type="paragraph" w:styleId="Ttulo1">
    <w:name w:val="heading 1"/>
    <w:basedOn w:val="Normal"/>
    <w:next w:val="Normal"/>
    <w:link w:val="Ttulo1Char"/>
    <w:rsid w:val="00CA2769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580EA4"/>
    <w:rPr>
      <w:rFonts w:ascii="Lucida Grande" w:hAnsi="Lucida Grande"/>
      <w:sz w:val="18"/>
      <w:szCs w:val="18"/>
    </w:rPr>
  </w:style>
  <w:style w:type="paragraph" w:styleId="Cabealho">
    <w:name w:val="header"/>
    <w:basedOn w:val="Normal"/>
    <w:rsid w:val="00AE697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AE697D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rsid w:val="00CC10BE"/>
    <w:pPr>
      <w:spacing w:before="100" w:beforeAutospacing="1" w:after="100" w:afterAutospacing="1"/>
    </w:pPr>
    <w:rPr>
      <w:rFonts w:ascii="Times" w:hAnsi="Times"/>
      <w:sz w:val="20"/>
    </w:rPr>
  </w:style>
  <w:style w:type="paragraph" w:styleId="Textodenotaderodap">
    <w:name w:val="footnote text"/>
    <w:basedOn w:val="Normal"/>
    <w:link w:val="TextodenotaderodapChar"/>
    <w:rsid w:val="00422F7A"/>
    <w:rPr>
      <w:sz w:val="20"/>
    </w:rPr>
  </w:style>
  <w:style w:type="character" w:customStyle="1" w:styleId="TextodenotaderodapChar">
    <w:name w:val="Texto de nota de rodapé Char"/>
    <w:link w:val="Textodenotaderodap"/>
    <w:rsid w:val="00422F7A"/>
    <w:rPr>
      <w:lang w:val="es-ES_tradnl" w:eastAsia="es-ES_tradnl"/>
    </w:rPr>
  </w:style>
  <w:style w:type="character" w:styleId="Refdenotaderodap">
    <w:name w:val="footnote reference"/>
    <w:rsid w:val="00422F7A"/>
    <w:rPr>
      <w:vertAlign w:val="superscript"/>
    </w:rPr>
  </w:style>
  <w:style w:type="character" w:styleId="Forte">
    <w:name w:val="Strong"/>
    <w:qFormat/>
    <w:rsid w:val="00422F7A"/>
    <w:rPr>
      <w:b/>
    </w:rPr>
  </w:style>
  <w:style w:type="paragraph" w:styleId="Citao">
    <w:name w:val="Quote"/>
    <w:basedOn w:val="Normal"/>
    <w:next w:val="Normal"/>
    <w:link w:val="CitaoChar"/>
    <w:uiPriority w:val="29"/>
    <w:qFormat/>
    <w:rsid w:val="00CA2769"/>
    <w:pPr>
      <w:spacing w:line="240" w:lineRule="auto"/>
      <w:ind w:left="2268" w:firstLine="0"/>
    </w:pPr>
    <w:rPr>
      <w:sz w:val="20"/>
    </w:rPr>
  </w:style>
  <w:style w:type="character" w:customStyle="1" w:styleId="CitaoChar">
    <w:name w:val="Citação Char"/>
    <w:link w:val="Citao"/>
    <w:uiPriority w:val="29"/>
    <w:rsid w:val="00CA2769"/>
    <w:rPr>
      <w:rFonts w:ascii="Arial" w:eastAsia="Calibri" w:hAnsi="Arial" w:cs="Arial"/>
      <w:color w:val="000000"/>
    </w:rPr>
  </w:style>
  <w:style w:type="character" w:styleId="RefernciaIntensa">
    <w:name w:val="Intense Reference"/>
    <w:uiPriority w:val="32"/>
    <w:rsid w:val="00CA2769"/>
    <w:rPr>
      <w:b/>
      <w:bCs/>
      <w:smallCaps/>
      <w:color w:val="5B9BD5"/>
      <w:spacing w:val="5"/>
    </w:rPr>
  </w:style>
  <w:style w:type="character" w:styleId="TtulodoLivro">
    <w:name w:val="Book Title"/>
    <w:uiPriority w:val="33"/>
    <w:rsid w:val="00CA2769"/>
    <w:rPr>
      <w:b/>
      <w:bCs/>
      <w:i/>
      <w:iCs/>
      <w:spacing w:val="5"/>
    </w:rPr>
  </w:style>
  <w:style w:type="paragraph" w:styleId="Ttulo">
    <w:name w:val="Title"/>
    <w:basedOn w:val="Normal"/>
    <w:next w:val="Normal"/>
    <w:link w:val="TtuloChar"/>
    <w:qFormat/>
    <w:rsid w:val="00CA2769"/>
    <w:pPr>
      <w:ind w:firstLine="0"/>
    </w:pPr>
    <w:rPr>
      <w:b/>
      <w:u w:val="single"/>
      <w:lang w:eastAsia="ar-SA"/>
    </w:rPr>
  </w:style>
  <w:style w:type="character" w:customStyle="1" w:styleId="TtuloChar">
    <w:name w:val="Título Char"/>
    <w:link w:val="Ttulo"/>
    <w:rsid w:val="00CA2769"/>
    <w:rPr>
      <w:rFonts w:ascii="Arial" w:eastAsia="Calibri" w:hAnsi="Arial" w:cs="Arial"/>
      <w:b/>
      <w:color w:val="000000"/>
      <w:sz w:val="24"/>
      <w:u w:val="single"/>
      <w:lang w:eastAsia="ar-SA"/>
    </w:rPr>
  </w:style>
  <w:style w:type="character" w:customStyle="1" w:styleId="Ttulo1Char">
    <w:name w:val="Título 1 Char"/>
    <w:link w:val="Ttulo1"/>
    <w:rsid w:val="00CA2769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paragraph" w:customStyle="1" w:styleId="Notaderodap">
    <w:name w:val="Nota de rodapé"/>
    <w:basedOn w:val="Textodenotaderodap"/>
    <w:link w:val="NotaderodapChar"/>
    <w:qFormat/>
    <w:rsid w:val="009952BA"/>
    <w:pPr>
      <w:spacing w:line="240" w:lineRule="auto"/>
      <w:ind w:firstLine="0"/>
    </w:pPr>
    <w:rPr>
      <w:sz w:val="18"/>
      <w:szCs w:val="18"/>
    </w:rPr>
  </w:style>
  <w:style w:type="character" w:customStyle="1" w:styleId="NotaderodapChar">
    <w:name w:val="Nota de rodapé Char"/>
    <w:basedOn w:val="TextodenotaderodapChar"/>
    <w:link w:val="Notaderodap"/>
    <w:rsid w:val="009952BA"/>
    <w:rPr>
      <w:rFonts w:ascii="Arial" w:eastAsia="Calibri" w:hAnsi="Arial" w:cs="Arial"/>
      <w:color w:val="000000"/>
      <w:sz w:val="18"/>
      <w:szCs w:val="18"/>
      <w:lang w:val="es-ES_tradnl" w:eastAsia="es-ES_tradnl"/>
    </w:rPr>
  </w:style>
  <w:style w:type="character" w:customStyle="1" w:styleId="Caracteresdenotaderodap">
    <w:name w:val="Caracteres de nota de rodapé"/>
    <w:basedOn w:val="Fontepargpadro"/>
    <w:rsid w:val="00F36050"/>
  </w:style>
  <w:style w:type="character" w:customStyle="1" w:styleId="PPCChar">
    <w:name w:val="PPC Char"/>
    <w:link w:val="PPC"/>
    <w:locked/>
    <w:rsid w:val="00BB66DA"/>
    <w:rPr>
      <w:rFonts w:ascii="Arial" w:hAnsi="Arial" w:cs="Arial"/>
      <w:snapToGrid w:val="0"/>
      <w:sz w:val="24"/>
    </w:rPr>
  </w:style>
  <w:style w:type="paragraph" w:customStyle="1" w:styleId="PPC">
    <w:name w:val="PPC"/>
    <w:basedOn w:val="Normal"/>
    <w:link w:val="PPCChar"/>
    <w:rsid w:val="00BB66DA"/>
    <w:rPr>
      <w:rFonts w:eastAsia="Times New Roman"/>
      <w:snapToGrid w:val="0"/>
      <w:color w:val="auto"/>
    </w:rPr>
  </w:style>
  <w:style w:type="paragraph" w:customStyle="1" w:styleId="TableParagraph">
    <w:name w:val="Table Paragraph"/>
    <w:basedOn w:val="Normal"/>
    <w:uiPriority w:val="1"/>
    <w:rsid w:val="00DB63A0"/>
    <w:pPr>
      <w:snapToGrid/>
      <w:spacing w:line="240" w:lineRule="auto"/>
      <w:ind w:left="62" w:firstLine="0"/>
      <w:jc w:val="left"/>
    </w:pPr>
    <w:rPr>
      <w:rFonts w:eastAsiaTheme="minorHAnsi"/>
      <w:color w:val="auto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0F371B"/>
    <w:pPr>
      <w:ind w:left="720"/>
      <w:contextualSpacing/>
    </w:pPr>
  </w:style>
  <w:style w:type="paragraph" w:customStyle="1" w:styleId="Default">
    <w:name w:val="Default"/>
    <w:rsid w:val="00453C1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pc0">
    <w:name w:val="ppc"/>
    <w:basedOn w:val="Normal"/>
    <w:rsid w:val="00110E8C"/>
    <w:rPr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trong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3B50"/>
    <w:pPr>
      <w:snapToGrid w:val="0"/>
      <w:spacing w:line="288" w:lineRule="auto"/>
      <w:ind w:firstLine="1418"/>
      <w:jc w:val="both"/>
    </w:pPr>
    <w:rPr>
      <w:rFonts w:ascii="Arial" w:eastAsia="Calibri" w:hAnsi="Arial" w:cs="Arial"/>
      <w:color w:val="000000"/>
      <w:sz w:val="24"/>
    </w:rPr>
  </w:style>
  <w:style w:type="paragraph" w:styleId="Ttulo1">
    <w:name w:val="heading 1"/>
    <w:basedOn w:val="Normal"/>
    <w:next w:val="Normal"/>
    <w:link w:val="Ttulo1Char"/>
    <w:rsid w:val="00CA2769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580EA4"/>
    <w:rPr>
      <w:rFonts w:ascii="Lucida Grande" w:hAnsi="Lucida Grande"/>
      <w:sz w:val="18"/>
      <w:szCs w:val="18"/>
    </w:rPr>
  </w:style>
  <w:style w:type="paragraph" w:styleId="Cabealho">
    <w:name w:val="header"/>
    <w:basedOn w:val="Normal"/>
    <w:rsid w:val="00AE697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AE697D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rsid w:val="00CC10BE"/>
    <w:pPr>
      <w:spacing w:before="100" w:beforeAutospacing="1" w:after="100" w:afterAutospacing="1"/>
    </w:pPr>
    <w:rPr>
      <w:rFonts w:ascii="Times" w:hAnsi="Times"/>
      <w:sz w:val="20"/>
    </w:rPr>
  </w:style>
  <w:style w:type="paragraph" w:styleId="Textodenotaderodap">
    <w:name w:val="footnote text"/>
    <w:basedOn w:val="Normal"/>
    <w:link w:val="TextodenotaderodapChar"/>
    <w:rsid w:val="00422F7A"/>
    <w:rPr>
      <w:sz w:val="20"/>
    </w:rPr>
  </w:style>
  <w:style w:type="character" w:customStyle="1" w:styleId="TextodenotaderodapChar">
    <w:name w:val="Texto de nota de rodapé Char"/>
    <w:link w:val="Textodenotaderodap"/>
    <w:rsid w:val="00422F7A"/>
    <w:rPr>
      <w:lang w:val="es-ES_tradnl" w:eastAsia="es-ES_tradnl"/>
    </w:rPr>
  </w:style>
  <w:style w:type="character" w:styleId="Refdenotaderodap">
    <w:name w:val="footnote reference"/>
    <w:rsid w:val="00422F7A"/>
    <w:rPr>
      <w:vertAlign w:val="superscript"/>
    </w:rPr>
  </w:style>
  <w:style w:type="character" w:styleId="Forte">
    <w:name w:val="Strong"/>
    <w:qFormat/>
    <w:rsid w:val="00422F7A"/>
    <w:rPr>
      <w:b/>
    </w:rPr>
  </w:style>
  <w:style w:type="paragraph" w:styleId="Citao">
    <w:name w:val="Quote"/>
    <w:basedOn w:val="Normal"/>
    <w:next w:val="Normal"/>
    <w:link w:val="CitaoChar"/>
    <w:uiPriority w:val="29"/>
    <w:qFormat/>
    <w:rsid w:val="00CA2769"/>
    <w:pPr>
      <w:spacing w:line="240" w:lineRule="auto"/>
      <w:ind w:left="2268" w:firstLine="0"/>
    </w:pPr>
    <w:rPr>
      <w:sz w:val="20"/>
    </w:rPr>
  </w:style>
  <w:style w:type="character" w:customStyle="1" w:styleId="CitaoChar">
    <w:name w:val="Citação Char"/>
    <w:link w:val="Citao"/>
    <w:uiPriority w:val="29"/>
    <w:rsid w:val="00CA2769"/>
    <w:rPr>
      <w:rFonts w:ascii="Arial" w:eastAsia="Calibri" w:hAnsi="Arial" w:cs="Arial"/>
      <w:color w:val="000000"/>
    </w:rPr>
  </w:style>
  <w:style w:type="character" w:styleId="RefernciaIntensa">
    <w:name w:val="Intense Reference"/>
    <w:uiPriority w:val="32"/>
    <w:rsid w:val="00CA2769"/>
    <w:rPr>
      <w:b/>
      <w:bCs/>
      <w:smallCaps/>
      <w:color w:val="5B9BD5"/>
      <w:spacing w:val="5"/>
    </w:rPr>
  </w:style>
  <w:style w:type="character" w:styleId="TtulodoLivro">
    <w:name w:val="Book Title"/>
    <w:uiPriority w:val="33"/>
    <w:rsid w:val="00CA2769"/>
    <w:rPr>
      <w:b/>
      <w:bCs/>
      <w:i/>
      <w:iCs/>
      <w:spacing w:val="5"/>
    </w:rPr>
  </w:style>
  <w:style w:type="paragraph" w:styleId="Ttulo">
    <w:name w:val="Title"/>
    <w:basedOn w:val="Normal"/>
    <w:next w:val="Normal"/>
    <w:link w:val="TtuloChar"/>
    <w:qFormat/>
    <w:rsid w:val="00CA2769"/>
    <w:pPr>
      <w:ind w:firstLine="0"/>
    </w:pPr>
    <w:rPr>
      <w:b/>
      <w:u w:val="single"/>
      <w:lang w:eastAsia="ar-SA"/>
    </w:rPr>
  </w:style>
  <w:style w:type="character" w:customStyle="1" w:styleId="TtuloChar">
    <w:name w:val="Título Char"/>
    <w:link w:val="Ttulo"/>
    <w:rsid w:val="00CA2769"/>
    <w:rPr>
      <w:rFonts w:ascii="Arial" w:eastAsia="Calibri" w:hAnsi="Arial" w:cs="Arial"/>
      <w:b/>
      <w:color w:val="000000"/>
      <w:sz w:val="24"/>
      <w:u w:val="single"/>
      <w:lang w:eastAsia="ar-SA"/>
    </w:rPr>
  </w:style>
  <w:style w:type="character" w:customStyle="1" w:styleId="Ttulo1Char">
    <w:name w:val="Título 1 Char"/>
    <w:link w:val="Ttulo1"/>
    <w:rsid w:val="00CA2769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paragraph" w:customStyle="1" w:styleId="Notaderodap">
    <w:name w:val="Nota de rodapé"/>
    <w:basedOn w:val="Textodenotaderodap"/>
    <w:link w:val="NotaderodapChar"/>
    <w:qFormat/>
    <w:rsid w:val="009952BA"/>
    <w:pPr>
      <w:spacing w:line="240" w:lineRule="auto"/>
      <w:ind w:firstLine="0"/>
    </w:pPr>
    <w:rPr>
      <w:sz w:val="18"/>
      <w:szCs w:val="18"/>
    </w:rPr>
  </w:style>
  <w:style w:type="character" w:customStyle="1" w:styleId="NotaderodapChar">
    <w:name w:val="Nota de rodapé Char"/>
    <w:basedOn w:val="TextodenotaderodapChar"/>
    <w:link w:val="Notaderodap"/>
    <w:rsid w:val="009952BA"/>
    <w:rPr>
      <w:rFonts w:ascii="Arial" w:eastAsia="Calibri" w:hAnsi="Arial" w:cs="Arial"/>
      <w:color w:val="000000"/>
      <w:sz w:val="18"/>
      <w:szCs w:val="18"/>
      <w:lang w:val="es-ES_tradnl" w:eastAsia="es-ES_tradnl"/>
    </w:rPr>
  </w:style>
  <w:style w:type="character" w:customStyle="1" w:styleId="Caracteresdenotaderodap">
    <w:name w:val="Caracteres de nota de rodapé"/>
    <w:basedOn w:val="Fontepargpadro"/>
    <w:rsid w:val="00F36050"/>
  </w:style>
  <w:style w:type="character" w:customStyle="1" w:styleId="PPCChar">
    <w:name w:val="PPC Char"/>
    <w:link w:val="PPC"/>
    <w:locked/>
    <w:rsid w:val="00BB66DA"/>
    <w:rPr>
      <w:rFonts w:ascii="Arial" w:hAnsi="Arial" w:cs="Arial"/>
      <w:snapToGrid w:val="0"/>
      <w:sz w:val="24"/>
    </w:rPr>
  </w:style>
  <w:style w:type="paragraph" w:customStyle="1" w:styleId="PPC">
    <w:name w:val="PPC"/>
    <w:basedOn w:val="Normal"/>
    <w:link w:val="PPCChar"/>
    <w:rsid w:val="00BB66DA"/>
    <w:rPr>
      <w:rFonts w:eastAsia="Times New Roman"/>
      <w:snapToGrid w:val="0"/>
      <w:color w:val="auto"/>
    </w:rPr>
  </w:style>
  <w:style w:type="paragraph" w:customStyle="1" w:styleId="TableParagraph">
    <w:name w:val="Table Paragraph"/>
    <w:basedOn w:val="Normal"/>
    <w:uiPriority w:val="1"/>
    <w:rsid w:val="00DB63A0"/>
    <w:pPr>
      <w:snapToGrid/>
      <w:spacing w:line="240" w:lineRule="auto"/>
      <w:ind w:left="62" w:firstLine="0"/>
      <w:jc w:val="left"/>
    </w:pPr>
    <w:rPr>
      <w:rFonts w:eastAsiaTheme="minorHAnsi"/>
      <w:color w:val="auto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0F371B"/>
    <w:pPr>
      <w:ind w:left="720"/>
      <w:contextualSpacing/>
    </w:pPr>
  </w:style>
  <w:style w:type="paragraph" w:customStyle="1" w:styleId="Default">
    <w:name w:val="Default"/>
    <w:rsid w:val="00453C1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pc0">
    <w:name w:val="ppc"/>
    <w:basedOn w:val="Normal"/>
    <w:rsid w:val="00110E8C"/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lientes%20de%20Partido\Telef&#244;nica\Logo%20e%20rodap&#233;%20Telef&#244;nica-19.08.2016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AC1DC-2389-43B1-8461-F8924ABA7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e rodapé Telefônica-19.08.2016.dotx</Template>
  <TotalTime>1</TotalTime>
  <Pages>16</Pages>
  <Words>4332</Words>
  <Characters>23660</Characters>
  <Application>Microsoft Office Word</Application>
  <DocSecurity>4</DocSecurity>
  <Lines>197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Telefónica</Company>
  <LinksUpToDate>false</LinksUpToDate>
  <CharactersWithSpaces>27937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creator>Maria Isabella de Lima Vilas Boas Ribeiro</dc:creator>
  <cp:lastModifiedBy>Coordadm</cp:lastModifiedBy>
  <cp:revision>2</cp:revision>
  <cp:lastPrinted>2017-08-31T18:18:00Z</cp:lastPrinted>
  <dcterms:created xsi:type="dcterms:W3CDTF">2017-08-31T18:19:00Z</dcterms:created>
  <dcterms:modified xsi:type="dcterms:W3CDTF">2017-08-31T18:19:00Z</dcterms:modified>
</cp:coreProperties>
</file>