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907C8" w:rsidRPr="006F51B1" w:rsidRDefault="006F51B1">
      <w:pPr>
        <w:rPr>
          <w:rFonts w:ascii="Arial" w:hAnsi="Arial" w:cs="Arial"/>
          <w:sz w:val="24"/>
          <w:szCs w:val="24"/>
        </w:rPr>
      </w:pPr>
      <w:bookmarkStart w:id="0" w:name="_GoBack"/>
      <w:bookmarkEnd w:id="0"/>
      <w:r w:rsidRPr="006F51B1">
        <w:rPr>
          <w:rFonts w:ascii="Arial" w:hAnsi="Arial" w:cs="Arial"/>
          <w:sz w:val="24"/>
          <w:szCs w:val="24"/>
        </w:rPr>
        <w:t xml:space="preserve">                                                                       Porto Alegre, 27 de maio de 2019.</w:t>
      </w:r>
    </w:p>
    <w:p w:rsidR="0062766B" w:rsidRPr="0062766B" w:rsidRDefault="0062766B">
      <w:pPr>
        <w:rPr>
          <w:rFonts w:ascii="Arial" w:hAnsi="Arial" w:cs="Arial"/>
          <w:sz w:val="24"/>
          <w:szCs w:val="24"/>
        </w:rPr>
      </w:pPr>
    </w:p>
    <w:p w:rsidR="0062766B" w:rsidRPr="0062766B" w:rsidRDefault="0062766B">
      <w:pPr>
        <w:rPr>
          <w:rFonts w:ascii="Arial" w:hAnsi="Arial" w:cs="Arial"/>
          <w:b/>
          <w:sz w:val="28"/>
          <w:szCs w:val="28"/>
        </w:rPr>
      </w:pPr>
      <w:r w:rsidRPr="0062766B">
        <w:rPr>
          <w:rFonts w:ascii="Arial" w:hAnsi="Arial" w:cs="Arial"/>
          <w:b/>
          <w:sz w:val="28"/>
          <w:szCs w:val="28"/>
        </w:rPr>
        <w:t>MANIFESTAÇÃO CONTÁBIL</w:t>
      </w:r>
    </w:p>
    <w:p w:rsidR="0062766B" w:rsidRPr="0062766B" w:rsidRDefault="0062766B">
      <w:pPr>
        <w:rPr>
          <w:rFonts w:ascii="Arial" w:hAnsi="Arial" w:cs="Arial"/>
          <w:b/>
          <w:sz w:val="28"/>
          <w:szCs w:val="28"/>
        </w:rPr>
      </w:pPr>
      <w:r w:rsidRPr="0062766B">
        <w:rPr>
          <w:rFonts w:ascii="Arial" w:hAnsi="Arial" w:cs="Arial"/>
          <w:b/>
          <w:sz w:val="28"/>
          <w:szCs w:val="28"/>
        </w:rPr>
        <w:t>ASSECON/CRN2 001/2019.</w:t>
      </w:r>
    </w:p>
    <w:p w:rsidR="0062766B" w:rsidRPr="0062766B" w:rsidRDefault="0062766B">
      <w:pPr>
        <w:rPr>
          <w:rFonts w:ascii="Arial" w:hAnsi="Arial" w:cs="Arial"/>
          <w:noProof/>
          <w:sz w:val="28"/>
          <w:szCs w:val="28"/>
          <w:lang w:eastAsia="pt-BR"/>
        </w:rPr>
      </w:pPr>
      <w:r w:rsidRPr="0062766B">
        <w:rPr>
          <w:rFonts w:ascii="Arial" w:hAnsi="Arial" w:cs="Arial"/>
          <w:b/>
          <w:sz w:val="28"/>
          <w:szCs w:val="28"/>
        </w:rPr>
        <w:t xml:space="preserve">Assunto: </w:t>
      </w:r>
      <w:proofErr w:type="gramStart"/>
      <w:r w:rsidRPr="0062766B">
        <w:rPr>
          <w:rFonts w:ascii="Arial" w:hAnsi="Arial" w:cs="Arial"/>
          <w:b/>
          <w:sz w:val="28"/>
          <w:szCs w:val="28"/>
          <w:u w:val="single"/>
        </w:rPr>
        <w:t>manifestação  sobre</w:t>
      </w:r>
      <w:proofErr w:type="gramEnd"/>
      <w:r w:rsidRPr="0062766B">
        <w:rPr>
          <w:rFonts w:ascii="Arial" w:hAnsi="Arial" w:cs="Arial"/>
          <w:b/>
          <w:sz w:val="28"/>
          <w:szCs w:val="28"/>
          <w:u w:val="single"/>
        </w:rPr>
        <w:t xml:space="preserve"> esclarecimentos do CFN quanto ao relatório de visita técnica referente aos exercícios de 2015 a 2017.</w:t>
      </w:r>
    </w:p>
    <w:p w:rsidR="0062766B" w:rsidRPr="0062766B" w:rsidRDefault="0062766B" w:rsidP="006F51B1">
      <w:pPr>
        <w:jc w:val="both"/>
        <w:rPr>
          <w:rFonts w:ascii="Arial" w:hAnsi="Arial" w:cs="Arial"/>
          <w:noProof/>
          <w:sz w:val="28"/>
          <w:szCs w:val="28"/>
          <w:lang w:eastAsia="pt-BR"/>
        </w:rPr>
      </w:pPr>
    </w:p>
    <w:p w:rsidR="0062766B" w:rsidRDefault="0062766B" w:rsidP="006F51B1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 w:rsidRPr="0062766B">
        <w:rPr>
          <w:rFonts w:ascii="Arial" w:hAnsi="Arial" w:cs="Arial"/>
          <w:noProof/>
          <w:sz w:val="24"/>
          <w:szCs w:val="24"/>
          <w:lang w:eastAsia="pt-BR"/>
        </w:rPr>
        <w:t xml:space="preserve">     Em res</w:t>
      </w:r>
      <w:r>
        <w:rPr>
          <w:rFonts w:ascii="Arial" w:hAnsi="Arial" w:cs="Arial"/>
          <w:noProof/>
          <w:sz w:val="24"/>
          <w:szCs w:val="24"/>
          <w:lang w:eastAsia="pt-BR"/>
        </w:rPr>
        <w:t>posta ao Manifesto Contábil do CFN, temos as seguintes considerações:</w:t>
      </w:r>
    </w:p>
    <w:p w:rsidR="0062766B" w:rsidRDefault="0062766B">
      <w:pPr>
        <w:rPr>
          <w:rFonts w:ascii="Arial" w:hAnsi="Arial" w:cs="Arial"/>
          <w:noProof/>
          <w:sz w:val="24"/>
          <w:szCs w:val="24"/>
          <w:lang w:eastAsia="pt-BR"/>
        </w:rPr>
      </w:pPr>
    </w:p>
    <w:p w:rsidR="0062766B" w:rsidRDefault="0062766B">
      <w:pPr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</w:t>
      </w:r>
      <w:r>
        <w:rPr>
          <w:rFonts w:ascii="Arial" w:hAnsi="Arial" w:cs="Arial"/>
          <w:b/>
          <w:noProof/>
          <w:sz w:val="24"/>
          <w:szCs w:val="24"/>
          <w:lang w:eastAsia="pt-BR"/>
        </w:rPr>
        <w:t>Item 1. Financeira e Orçamentária</w:t>
      </w:r>
      <w:r w:rsidR="009E0CDA">
        <w:rPr>
          <w:rFonts w:ascii="Arial" w:hAnsi="Arial" w:cs="Arial"/>
          <w:b/>
          <w:noProof/>
          <w:sz w:val="24"/>
          <w:szCs w:val="24"/>
          <w:lang w:eastAsia="pt-BR"/>
        </w:rPr>
        <w:t>:</w:t>
      </w:r>
    </w:p>
    <w:p w:rsidR="009E0CDA" w:rsidRDefault="009E0CDA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Esclarecimentos: em referência aos itens 5.1.3, o qual aponta em pagamentos a fornecedores do CRN2 sem retenções de tributos federais, ocorreu pelo cadastro dos mesmos junto a este Conselho, quando não foi informado pelos mesmos sobre sua situação quanto aos seus regime de </w:t>
      </w:r>
      <w:r w:rsidR="00296697">
        <w:rPr>
          <w:rFonts w:ascii="Arial" w:hAnsi="Arial" w:cs="Arial"/>
          <w:noProof/>
          <w:sz w:val="24"/>
          <w:szCs w:val="24"/>
          <w:lang w:eastAsia="pt-BR"/>
        </w:rPr>
        <w:t xml:space="preserve">tributação de </w:t>
      </w:r>
      <w:r>
        <w:rPr>
          <w:rFonts w:ascii="Arial" w:hAnsi="Arial" w:cs="Arial"/>
          <w:noProof/>
          <w:sz w:val="24"/>
          <w:szCs w:val="24"/>
          <w:lang w:eastAsia="pt-BR"/>
        </w:rPr>
        <w:t>impostos.</w:t>
      </w:r>
    </w:p>
    <w:p w:rsidR="009E0CDA" w:rsidRDefault="009E0CDA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Informamos que, apesar da não retenção, não houve prejuízo ao erário público, pois os referidos fornecedores recolheram seus tributos pelas suas empresas.</w:t>
      </w:r>
    </w:p>
    <w:p w:rsidR="009E0CDA" w:rsidRDefault="009E0CDA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Providências: aprimorar cadastro de fornecedores, pesquisando site da Receita Federal sobre o regime de tributação dos fornecedores e, se for o caso, providenciar retenções destes tributos antes dos pagamentos.</w:t>
      </w:r>
    </w:p>
    <w:p w:rsidR="00296697" w:rsidRDefault="00296697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</w:p>
    <w:p w:rsidR="00296697" w:rsidRDefault="00296697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 w:rsidRPr="00CB54F1">
        <w:rPr>
          <w:rFonts w:ascii="Arial" w:hAnsi="Arial" w:cs="Arial"/>
          <w:b/>
          <w:noProof/>
          <w:sz w:val="24"/>
          <w:szCs w:val="24"/>
          <w:lang w:eastAsia="pt-BR"/>
        </w:rPr>
        <w:t xml:space="preserve">  </w:t>
      </w:r>
      <w:r w:rsidR="00CB54F1" w:rsidRPr="00CB54F1">
        <w:rPr>
          <w:rFonts w:ascii="Arial" w:hAnsi="Arial" w:cs="Arial"/>
          <w:b/>
          <w:noProof/>
          <w:sz w:val="24"/>
          <w:szCs w:val="24"/>
          <w:lang w:eastAsia="pt-BR"/>
        </w:rPr>
        <w:t xml:space="preserve">Item </w:t>
      </w:r>
      <w:r w:rsidR="00CB54F1">
        <w:rPr>
          <w:rFonts w:ascii="Arial" w:hAnsi="Arial" w:cs="Arial"/>
          <w:b/>
          <w:noProof/>
          <w:sz w:val="24"/>
          <w:szCs w:val="24"/>
          <w:lang w:eastAsia="pt-BR"/>
        </w:rPr>
        <w:t>5.1.3. Geração de DARF fora do período de competência do fato gerador:</w:t>
      </w:r>
    </w:p>
    <w:p w:rsidR="00CB54F1" w:rsidRDefault="00CB54F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Esclarecimentos: os casos foram pontuais em </w:t>
      </w:r>
      <w:r w:rsidR="006F51B1">
        <w:rPr>
          <w:rFonts w:ascii="Arial" w:hAnsi="Arial" w:cs="Arial"/>
          <w:noProof/>
          <w:sz w:val="24"/>
          <w:szCs w:val="24"/>
          <w:lang w:eastAsia="pt-BR"/>
        </w:rPr>
        <w:t xml:space="preserve">um </w:t>
      </w:r>
      <w:r>
        <w:rPr>
          <w:rFonts w:ascii="Arial" w:hAnsi="Arial" w:cs="Arial"/>
          <w:noProof/>
          <w:sz w:val="24"/>
          <w:szCs w:val="24"/>
          <w:lang w:eastAsia="pt-BR"/>
        </w:rPr>
        <w:t>universo de centenas de pagamentos. Pode ter havido um vácuo de informação para geração do DARF.</w:t>
      </w:r>
    </w:p>
    <w:p w:rsidR="00CB54F1" w:rsidRDefault="00CB54F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Informamos que, apesar do ocorrido, não houve prejízo ao erário público, eis que os valores foram recolhidos.</w:t>
      </w:r>
    </w:p>
    <w:p w:rsidR="00CB54F1" w:rsidRDefault="00CB54F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Providências: aprimorar controles de informações de pagamentos. </w:t>
      </w:r>
    </w:p>
    <w:p w:rsidR="002073DC" w:rsidRDefault="002073DC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</w:p>
    <w:p w:rsidR="002073DC" w:rsidRDefault="00F00103" w:rsidP="009E0CDA">
      <w:pPr>
        <w:jc w:val="both"/>
        <w:rPr>
          <w:rFonts w:ascii="Arial" w:hAnsi="Arial" w:cs="Arial"/>
          <w:b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lastRenderedPageBreak/>
        <w:t xml:space="preserve">  </w:t>
      </w:r>
      <w:r w:rsidR="002073DC">
        <w:rPr>
          <w:rFonts w:ascii="Arial" w:hAnsi="Arial" w:cs="Arial"/>
          <w:noProof/>
          <w:sz w:val="24"/>
          <w:szCs w:val="24"/>
          <w:lang w:eastAsia="pt-BR"/>
        </w:rPr>
        <w:t xml:space="preserve"> </w:t>
      </w:r>
      <w:r w:rsidR="002073DC">
        <w:rPr>
          <w:rFonts w:ascii="Arial" w:hAnsi="Arial" w:cs="Arial"/>
          <w:b/>
          <w:noProof/>
          <w:sz w:val="24"/>
          <w:szCs w:val="24"/>
          <w:lang w:eastAsia="pt-BR"/>
        </w:rPr>
        <w:t>Item 5.1.3. Pagamento de RPA sem retenção de ISS:</w:t>
      </w:r>
    </w:p>
    <w:p w:rsidR="002073DC" w:rsidRDefault="002073DC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b/>
          <w:noProof/>
          <w:sz w:val="24"/>
          <w:szCs w:val="24"/>
          <w:lang w:eastAsia="pt-BR"/>
        </w:rPr>
        <w:t xml:space="preserve">      </w:t>
      </w:r>
      <w:r>
        <w:rPr>
          <w:rFonts w:ascii="Arial" w:hAnsi="Arial" w:cs="Arial"/>
          <w:noProof/>
          <w:sz w:val="24"/>
          <w:szCs w:val="24"/>
          <w:lang w:eastAsia="pt-BR"/>
        </w:rPr>
        <w:t>Esclarecimentos: ISS não retido devido dispensa de lei orgânica no município de Santa Maria.</w:t>
      </w:r>
    </w:p>
    <w:p w:rsidR="002073DC" w:rsidRDefault="002073DC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 Informamos que o CRN2, por ser uma autarquia federal, tem imunidade tributária. Também lembramos que o pagamento a estes profissionais tem especificidade de serviços de limpeza, quando é acordado um valor líquido aos mesmos receberem, quando o CRN2 acaba arcando com os tributos.</w:t>
      </w:r>
    </w:p>
    <w:p w:rsidR="002073DC" w:rsidRDefault="002073DC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Providências: consulta ao setor tirbutário da Prefeitura Municipal de Santa Maria sobre a questão.</w:t>
      </w:r>
    </w:p>
    <w:p w:rsidR="00F00103" w:rsidRDefault="00F00103" w:rsidP="009E0CDA">
      <w:pPr>
        <w:jc w:val="both"/>
        <w:rPr>
          <w:rFonts w:ascii="Arial" w:hAnsi="Arial" w:cs="Arial"/>
          <w:b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</w:t>
      </w:r>
    </w:p>
    <w:p w:rsidR="00F00103" w:rsidRDefault="00F00103" w:rsidP="009E0CDA">
      <w:pPr>
        <w:jc w:val="both"/>
        <w:rPr>
          <w:rFonts w:ascii="Arial" w:hAnsi="Arial" w:cs="Arial"/>
          <w:b/>
          <w:noProof/>
          <w:sz w:val="24"/>
          <w:szCs w:val="24"/>
          <w:lang w:eastAsia="pt-BR"/>
        </w:rPr>
      </w:pPr>
      <w:r>
        <w:rPr>
          <w:rFonts w:ascii="Arial" w:hAnsi="Arial" w:cs="Arial"/>
          <w:b/>
          <w:noProof/>
          <w:sz w:val="24"/>
          <w:szCs w:val="24"/>
          <w:lang w:eastAsia="pt-BR"/>
        </w:rPr>
        <w:t xml:space="preserve">    Item </w:t>
      </w:r>
      <w:r w:rsidR="00CA2681">
        <w:rPr>
          <w:rFonts w:ascii="Arial" w:hAnsi="Arial" w:cs="Arial"/>
          <w:b/>
          <w:noProof/>
          <w:sz w:val="24"/>
          <w:szCs w:val="24"/>
          <w:lang w:eastAsia="pt-BR"/>
        </w:rPr>
        <w:t>5.2.3. Diversos empenhos com ofavorecido sendo o CRN2:</w:t>
      </w:r>
    </w:p>
    <w:p w:rsidR="00CA2681" w:rsidRDefault="00CA268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b/>
          <w:noProof/>
          <w:sz w:val="24"/>
          <w:szCs w:val="24"/>
          <w:lang w:eastAsia="pt-BR"/>
        </w:rPr>
        <w:t xml:space="preserve">       </w:t>
      </w:r>
      <w:r>
        <w:rPr>
          <w:rFonts w:ascii="Arial" w:hAnsi="Arial" w:cs="Arial"/>
          <w:noProof/>
          <w:sz w:val="24"/>
          <w:szCs w:val="24"/>
          <w:lang w:eastAsia="pt-BR"/>
        </w:rPr>
        <w:t>Esclarecimentos: fato ocorre devido, no início do exercício, serem realizados empenhos por estimativas, quando não possibilidade de precisar o favorecido.</w:t>
      </w:r>
    </w:p>
    <w:p w:rsidR="00CA2681" w:rsidRDefault="00CA268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  Providências: já a partir do exercício de 2018, foram utilizados empenhos nominativos, ou seja, identificando os favorecidos dos mesmos.</w:t>
      </w:r>
    </w:p>
    <w:p w:rsidR="00CA2681" w:rsidRDefault="00CA268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</w:p>
    <w:p w:rsidR="00CA2681" w:rsidRDefault="00CA268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      Sendo o que tínhamos,</w:t>
      </w:r>
    </w:p>
    <w:p w:rsidR="00CA2681" w:rsidRDefault="00CA268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</w:p>
    <w:p w:rsidR="00CA2681" w:rsidRPr="00CA2681" w:rsidRDefault="00CA2681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                    Cordialmente,</w:t>
      </w:r>
    </w:p>
    <w:p w:rsidR="00F00103" w:rsidRPr="002073DC" w:rsidRDefault="00F00103" w:rsidP="009E0CDA">
      <w:pPr>
        <w:jc w:val="both"/>
        <w:rPr>
          <w:rFonts w:ascii="Arial" w:hAnsi="Arial" w:cs="Arial"/>
          <w:noProof/>
          <w:sz w:val="24"/>
          <w:szCs w:val="24"/>
          <w:lang w:eastAsia="pt-BR"/>
        </w:rPr>
      </w:pPr>
      <w:r>
        <w:rPr>
          <w:rFonts w:ascii="Arial" w:hAnsi="Arial" w:cs="Arial"/>
          <w:noProof/>
          <w:sz w:val="24"/>
          <w:szCs w:val="24"/>
          <w:lang w:eastAsia="pt-BR"/>
        </w:rPr>
        <w:t xml:space="preserve">  </w:t>
      </w:r>
    </w:p>
    <w:sectPr w:rsidR="00F00103" w:rsidRPr="002073D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766B"/>
    <w:rsid w:val="002073DC"/>
    <w:rsid w:val="00296697"/>
    <w:rsid w:val="0062766B"/>
    <w:rsid w:val="006F51B1"/>
    <w:rsid w:val="009E0CDA"/>
    <w:rsid w:val="00A510B1"/>
    <w:rsid w:val="00A80B79"/>
    <w:rsid w:val="00CA2681"/>
    <w:rsid w:val="00CB54F1"/>
    <w:rsid w:val="00F00103"/>
    <w:rsid w:val="00F90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CFF2F2-D723-47CB-90B2-C18E0C360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6276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2766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MAIER</dc:creator>
  <cp:lastModifiedBy>Coordenação Financeira - Magali Krindges</cp:lastModifiedBy>
  <cp:revision>2</cp:revision>
  <dcterms:created xsi:type="dcterms:W3CDTF">2022-12-02T14:46:00Z</dcterms:created>
  <dcterms:modified xsi:type="dcterms:W3CDTF">2022-12-02T14:46:00Z</dcterms:modified>
</cp:coreProperties>
</file>